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C6B" w:rsidRPr="00425862" w:rsidRDefault="001A7CD5" w:rsidP="00181C6B">
      <w:pPr>
        <w:rPr>
          <w:rFonts w:asciiTheme="minorHAnsi" w:hAnsiTheme="minorHAnsi" w:cs="Arial"/>
          <w:b/>
          <w:sz w:val="28"/>
          <w:szCs w:val="28"/>
          <w:lang w:val="nl-NL"/>
        </w:rPr>
      </w:pPr>
      <w:r>
        <w:rPr>
          <w:rFonts w:asciiTheme="minorHAnsi" w:hAnsiTheme="minorHAnsi" w:cs="Arial"/>
          <w:b/>
          <w:sz w:val="28"/>
          <w:szCs w:val="28"/>
        </w:rPr>
        <w:tab/>
      </w:r>
      <w:r>
        <w:rPr>
          <w:rFonts w:asciiTheme="minorHAnsi" w:hAnsiTheme="minorHAnsi" w:cs="Arial"/>
          <w:b/>
          <w:sz w:val="28"/>
          <w:szCs w:val="28"/>
        </w:rPr>
        <w:tab/>
      </w:r>
      <w:r>
        <w:rPr>
          <w:rFonts w:asciiTheme="minorHAnsi" w:hAnsiTheme="minorHAnsi" w:cs="Arial"/>
          <w:b/>
          <w:sz w:val="28"/>
          <w:szCs w:val="28"/>
        </w:rPr>
        <w:tab/>
      </w:r>
      <w:r>
        <w:rPr>
          <w:rFonts w:asciiTheme="minorHAnsi" w:hAnsiTheme="minorHAnsi" w:cs="Arial"/>
          <w:b/>
          <w:sz w:val="28"/>
          <w:szCs w:val="28"/>
        </w:rPr>
        <w:tab/>
      </w:r>
      <w:r w:rsidR="00181C6B" w:rsidRPr="00425862">
        <w:rPr>
          <w:rFonts w:asciiTheme="minorHAnsi" w:hAnsiTheme="minorHAnsi" w:cs="Arial"/>
          <w:b/>
          <w:sz w:val="28"/>
          <w:szCs w:val="28"/>
          <w:lang w:val="nl-NL"/>
        </w:rPr>
        <w:t>Protocol Amitraz intoxicatie</w:t>
      </w:r>
    </w:p>
    <w:p w:rsidR="00181C6B" w:rsidRPr="00425862" w:rsidRDefault="00181C6B" w:rsidP="00181C6B">
      <w:pPr>
        <w:rPr>
          <w:rFonts w:asciiTheme="minorHAnsi" w:hAnsiTheme="minorHAnsi" w:cs="Arial"/>
          <w:sz w:val="24"/>
          <w:lang w:val="nl-NL"/>
        </w:rPr>
      </w:pPr>
    </w:p>
    <w:p w:rsidR="00181C6B" w:rsidRPr="00181C6B" w:rsidRDefault="00181C6B" w:rsidP="00181C6B">
      <w:pPr>
        <w:rPr>
          <w:rFonts w:asciiTheme="minorHAnsi" w:hAnsiTheme="minorHAnsi" w:cs="Arial"/>
          <w:sz w:val="24"/>
        </w:rPr>
      </w:pPr>
      <w:r w:rsidRPr="00425862">
        <w:rPr>
          <w:rFonts w:asciiTheme="minorHAnsi" w:hAnsiTheme="minorHAnsi" w:cs="Arial"/>
          <w:sz w:val="24"/>
          <w:lang w:val="nl-NL"/>
        </w:rPr>
        <w:t xml:space="preserve">Amitraz behoort tot de formamidines. Deze stoffen zijn alfa-adrenoreceptor agonisten, hebben een interactie met octapamine receptoren, remmen prostaglandinesynthese en zijn MAO-remmers. </w:t>
      </w:r>
      <w:r w:rsidRPr="00181C6B">
        <w:rPr>
          <w:rFonts w:asciiTheme="minorHAnsi" w:hAnsiTheme="minorHAnsi" w:cs="Arial"/>
          <w:sz w:val="24"/>
        </w:rPr>
        <w:t>Amitraz wordt gebruikt als bestrijdingsmiddel voor verschillende parasieten bij planten en dieren.</w:t>
      </w:r>
    </w:p>
    <w:p w:rsidR="00181C6B" w:rsidRPr="00181C6B" w:rsidRDefault="00181C6B" w:rsidP="00181C6B">
      <w:pPr>
        <w:rPr>
          <w:rFonts w:asciiTheme="minorHAnsi" w:hAnsiTheme="minorHAnsi" w:cs="Arial"/>
          <w:sz w:val="24"/>
        </w:rPr>
      </w:pPr>
    </w:p>
    <w:p w:rsidR="00181C6B" w:rsidRPr="00181C6B" w:rsidRDefault="00181C6B" w:rsidP="00181C6B">
      <w:pPr>
        <w:rPr>
          <w:rFonts w:asciiTheme="minorHAnsi" w:hAnsiTheme="minorHAnsi" w:cs="Arial"/>
          <w:sz w:val="24"/>
        </w:rPr>
      </w:pPr>
      <w:r w:rsidRPr="00E53528">
        <w:rPr>
          <w:rFonts w:asciiTheme="minorHAnsi" w:hAnsiTheme="minorHAnsi" w:cs="Arial"/>
          <w:b/>
          <w:sz w:val="24"/>
        </w:rPr>
        <w:t>Middelen waar amitraz in voorkom</w:t>
      </w:r>
      <w:r w:rsidRPr="00181C6B">
        <w:rPr>
          <w:rFonts w:asciiTheme="minorHAnsi" w:hAnsiTheme="minorHAnsi" w:cs="Arial"/>
          <w:sz w:val="24"/>
        </w:rPr>
        <w:t>:</w:t>
      </w:r>
    </w:p>
    <w:p w:rsidR="00181C6B" w:rsidRPr="00181C6B" w:rsidRDefault="00181C6B" w:rsidP="00181C6B">
      <w:pPr>
        <w:rPr>
          <w:rFonts w:asciiTheme="minorHAnsi" w:hAnsiTheme="minorHAnsi" w:cs="Arial"/>
          <w:sz w:val="24"/>
        </w:rPr>
      </w:pPr>
      <w:r w:rsidRPr="00181C6B">
        <w:rPr>
          <w:rFonts w:asciiTheme="minorHAnsi" w:hAnsiTheme="minorHAnsi" w:cs="Arial"/>
          <w:sz w:val="24"/>
        </w:rPr>
        <w:t>Taktic</w:t>
      </w:r>
      <w:r>
        <w:rPr>
          <w:rFonts w:asciiTheme="minorHAnsi" w:hAnsiTheme="minorHAnsi" w:cs="Arial"/>
          <w:sz w:val="24"/>
        </w:rPr>
        <w:t>®</w:t>
      </w:r>
      <w:r w:rsidRPr="00181C6B">
        <w:rPr>
          <w:rFonts w:asciiTheme="minorHAnsi" w:hAnsiTheme="minorHAnsi" w:cs="Arial"/>
          <w:sz w:val="24"/>
        </w:rPr>
        <w:t>, Tickst</w:t>
      </w:r>
      <w:r>
        <w:rPr>
          <w:rFonts w:asciiTheme="minorHAnsi" w:hAnsiTheme="minorHAnsi" w:cs="Arial"/>
          <w:sz w:val="24"/>
        </w:rPr>
        <w:t>®</w:t>
      </w:r>
      <w:r w:rsidRPr="00181C6B">
        <w:rPr>
          <w:rFonts w:asciiTheme="minorHAnsi" w:hAnsiTheme="minorHAnsi" w:cs="Arial"/>
          <w:sz w:val="24"/>
        </w:rPr>
        <w:t>, Preventic</w:t>
      </w:r>
      <w:r>
        <w:rPr>
          <w:rFonts w:asciiTheme="minorHAnsi" w:hAnsiTheme="minorHAnsi" w:cs="Arial"/>
          <w:sz w:val="24"/>
        </w:rPr>
        <w:t>®</w:t>
      </w:r>
      <w:r w:rsidRPr="00181C6B">
        <w:rPr>
          <w:rFonts w:asciiTheme="minorHAnsi" w:hAnsiTheme="minorHAnsi" w:cs="Arial"/>
          <w:sz w:val="24"/>
        </w:rPr>
        <w:t>, Mitaban</w:t>
      </w:r>
      <w:r>
        <w:rPr>
          <w:rFonts w:asciiTheme="minorHAnsi" w:hAnsiTheme="minorHAnsi" w:cs="Arial"/>
          <w:sz w:val="24"/>
        </w:rPr>
        <w:t>®</w:t>
      </w:r>
      <w:r w:rsidRPr="00181C6B">
        <w:rPr>
          <w:rFonts w:asciiTheme="minorHAnsi" w:hAnsiTheme="minorHAnsi" w:cs="Arial"/>
          <w:sz w:val="24"/>
        </w:rPr>
        <w:t>, Ectodex</w:t>
      </w:r>
      <w:r>
        <w:rPr>
          <w:rFonts w:asciiTheme="minorHAnsi" w:hAnsiTheme="minorHAnsi" w:cs="Arial"/>
          <w:sz w:val="24"/>
        </w:rPr>
        <w:t>®</w:t>
      </w:r>
      <w:r w:rsidRPr="00181C6B">
        <w:rPr>
          <w:rFonts w:asciiTheme="minorHAnsi" w:hAnsiTheme="minorHAnsi" w:cs="Arial"/>
          <w:sz w:val="24"/>
        </w:rPr>
        <w:t>, Delete All</w:t>
      </w:r>
      <w:r>
        <w:rPr>
          <w:rFonts w:asciiTheme="minorHAnsi" w:hAnsiTheme="minorHAnsi" w:cs="Arial"/>
          <w:sz w:val="24"/>
        </w:rPr>
        <w:t>®</w:t>
      </w:r>
      <w:r w:rsidRPr="00181C6B">
        <w:rPr>
          <w:rFonts w:asciiTheme="minorHAnsi" w:hAnsiTheme="minorHAnsi" w:cs="Arial"/>
          <w:sz w:val="24"/>
        </w:rPr>
        <w:t>, Promeris</w:t>
      </w:r>
      <w:r>
        <w:rPr>
          <w:rFonts w:asciiTheme="minorHAnsi" w:hAnsiTheme="minorHAnsi" w:cs="Arial"/>
          <w:sz w:val="24"/>
        </w:rPr>
        <w:t>®</w:t>
      </w:r>
      <w:r w:rsidRPr="00181C6B">
        <w:rPr>
          <w:rFonts w:asciiTheme="minorHAnsi" w:hAnsiTheme="minorHAnsi" w:cs="Arial"/>
          <w:sz w:val="24"/>
        </w:rPr>
        <w:t>.</w:t>
      </w:r>
    </w:p>
    <w:p w:rsidR="00181C6B" w:rsidRPr="00181C6B" w:rsidRDefault="00181C6B" w:rsidP="00181C6B">
      <w:pPr>
        <w:rPr>
          <w:rFonts w:asciiTheme="minorHAnsi" w:hAnsiTheme="minorHAnsi" w:cs="Arial"/>
          <w:sz w:val="24"/>
        </w:rPr>
      </w:pPr>
      <w:r w:rsidRPr="00181C6B">
        <w:rPr>
          <w:rFonts w:asciiTheme="minorHAnsi" w:hAnsiTheme="minorHAnsi" w:cs="Arial"/>
          <w:sz w:val="24"/>
        </w:rPr>
        <w:t xml:space="preserve">Verschillende tekenbanden en dips voor vee. </w:t>
      </w:r>
    </w:p>
    <w:p w:rsidR="00181C6B" w:rsidRPr="00181C6B" w:rsidRDefault="00181C6B" w:rsidP="00181C6B">
      <w:pPr>
        <w:rPr>
          <w:rFonts w:asciiTheme="minorHAnsi" w:hAnsiTheme="minorHAnsi" w:cs="Arial"/>
          <w:sz w:val="24"/>
        </w:rPr>
      </w:pPr>
      <w:r w:rsidRPr="00181C6B">
        <w:rPr>
          <w:rFonts w:asciiTheme="minorHAnsi" w:hAnsiTheme="minorHAnsi" w:cs="Arial"/>
          <w:sz w:val="24"/>
        </w:rPr>
        <w:t>Professionele bestrijdingsmiddelen voor in de landbouw bevatten naast amitraz vaak ook andere stoffen waar honden en katten op kunnen reageren.</w:t>
      </w:r>
    </w:p>
    <w:p w:rsidR="00181C6B" w:rsidRPr="00181C6B" w:rsidRDefault="00181C6B" w:rsidP="00181C6B">
      <w:pPr>
        <w:rPr>
          <w:rFonts w:asciiTheme="minorHAnsi" w:hAnsiTheme="minorHAnsi" w:cs="Arial"/>
          <w:sz w:val="24"/>
        </w:rPr>
      </w:pPr>
    </w:p>
    <w:p w:rsidR="00181C6B" w:rsidRDefault="00181C6B" w:rsidP="00181C6B">
      <w:pPr>
        <w:rPr>
          <w:rFonts w:asciiTheme="minorHAnsi" w:hAnsiTheme="minorHAnsi" w:cs="Arial"/>
          <w:sz w:val="24"/>
        </w:rPr>
      </w:pPr>
      <w:r w:rsidRPr="00E53528">
        <w:rPr>
          <w:rFonts w:asciiTheme="minorHAnsi" w:hAnsiTheme="minorHAnsi" w:cs="Arial"/>
          <w:b/>
          <w:sz w:val="24"/>
        </w:rPr>
        <w:t>Intoxicatie komt voor bij huisdieren via 2 routes</w:t>
      </w:r>
      <w:r>
        <w:rPr>
          <w:rFonts w:asciiTheme="minorHAnsi" w:hAnsiTheme="minorHAnsi" w:cs="Arial"/>
          <w:sz w:val="24"/>
        </w:rPr>
        <w:t>:</w:t>
      </w:r>
    </w:p>
    <w:p w:rsidR="00181C6B" w:rsidRDefault="00181C6B" w:rsidP="00181C6B">
      <w:pPr>
        <w:rPr>
          <w:rFonts w:asciiTheme="minorHAnsi" w:hAnsiTheme="minorHAnsi" w:cs="Arial"/>
          <w:sz w:val="24"/>
        </w:rPr>
      </w:pPr>
      <w:r>
        <w:rPr>
          <w:rFonts w:asciiTheme="minorHAnsi" w:hAnsiTheme="minorHAnsi" w:cs="Arial"/>
          <w:sz w:val="24"/>
        </w:rPr>
        <w:t>- v</w:t>
      </w:r>
      <w:r w:rsidRPr="00181C6B">
        <w:rPr>
          <w:rFonts w:asciiTheme="minorHAnsi" w:hAnsiTheme="minorHAnsi" w:cs="Arial"/>
          <w:sz w:val="24"/>
        </w:rPr>
        <w:t xml:space="preserve">ia orale opname bv. door het eten van tekenbanden en </w:t>
      </w:r>
    </w:p>
    <w:p w:rsidR="00181C6B" w:rsidRPr="00181C6B" w:rsidRDefault="00181C6B" w:rsidP="00181C6B">
      <w:pPr>
        <w:rPr>
          <w:rFonts w:asciiTheme="minorHAnsi" w:hAnsiTheme="minorHAnsi" w:cs="Arial"/>
          <w:sz w:val="24"/>
        </w:rPr>
      </w:pPr>
      <w:r>
        <w:rPr>
          <w:rFonts w:asciiTheme="minorHAnsi" w:hAnsiTheme="minorHAnsi" w:cs="Arial"/>
          <w:sz w:val="24"/>
        </w:rPr>
        <w:t xml:space="preserve">- </w:t>
      </w:r>
      <w:r w:rsidRPr="00181C6B">
        <w:rPr>
          <w:rFonts w:asciiTheme="minorHAnsi" w:hAnsiTheme="minorHAnsi" w:cs="Arial"/>
          <w:sz w:val="24"/>
        </w:rPr>
        <w:t>via transcutane absorptie.</w:t>
      </w:r>
    </w:p>
    <w:p w:rsidR="00181C6B" w:rsidRPr="00181C6B" w:rsidRDefault="00181C6B" w:rsidP="00181C6B">
      <w:pPr>
        <w:rPr>
          <w:rFonts w:asciiTheme="minorHAnsi" w:hAnsiTheme="minorHAnsi" w:cs="Arial"/>
          <w:sz w:val="24"/>
        </w:rPr>
      </w:pPr>
      <w:r w:rsidRPr="00181C6B">
        <w:rPr>
          <w:rFonts w:asciiTheme="minorHAnsi" w:hAnsiTheme="minorHAnsi" w:cs="Arial"/>
          <w:sz w:val="24"/>
        </w:rPr>
        <w:t>De metabolieten van de stof zijn ook toxisch en worden via de nieren en de ontlasting uitgescheiden. De metaboliet geeft de meeste intoxicatieverschijnselen en heeft een piek 1,5 tot 6 uur na inname.</w:t>
      </w:r>
    </w:p>
    <w:p w:rsidR="00181C6B" w:rsidRDefault="00181C6B" w:rsidP="00181C6B">
      <w:pPr>
        <w:rPr>
          <w:rFonts w:asciiTheme="minorHAnsi" w:hAnsiTheme="minorHAnsi" w:cs="Arial"/>
          <w:sz w:val="24"/>
        </w:rPr>
      </w:pPr>
      <w:r w:rsidRPr="00181C6B">
        <w:rPr>
          <w:rFonts w:asciiTheme="minorHAnsi" w:hAnsiTheme="minorHAnsi" w:cs="Arial"/>
          <w:sz w:val="24"/>
        </w:rPr>
        <w:t xml:space="preserve">De LD50 bij de hond is 100 mg/kg en toxische verschijnselen zijn te verwachten bij 10 mg/kg. </w:t>
      </w:r>
    </w:p>
    <w:p w:rsidR="00181C6B" w:rsidRPr="00181C6B" w:rsidRDefault="00181C6B" w:rsidP="00181C6B">
      <w:pPr>
        <w:rPr>
          <w:rFonts w:asciiTheme="minorHAnsi" w:hAnsiTheme="minorHAnsi" w:cs="Arial"/>
          <w:sz w:val="24"/>
        </w:rPr>
      </w:pPr>
      <w:r w:rsidRPr="00181C6B">
        <w:rPr>
          <w:rFonts w:asciiTheme="minorHAnsi" w:hAnsiTheme="minorHAnsi" w:cs="Arial"/>
          <w:sz w:val="24"/>
        </w:rPr>
        <w:t>De kat lijkt gevoeliger voor amitraz en de prognose lijkt slechter</w:t>
      </w:r>
      <w:r w:rsidR="00E53528">
        <w:rPr>
          <w:rFonts w:asciiTheme="minorHAnsi" w:hAnsiTheme="minorHAnsi" w:cs="Arial"/>
          <w:sz w:val="24"/>
        </w:rPr>
        <w:t>,</w:t>
      </w:r>
      <w:r w:rsidRPr="00181C6B">
        <w:rPr>
          <w:rFonts w:asciiTheme="minorHAnsi" w:hAnsiTheme="minorHAnsi" w:cs="Arial"/>
          <w:sz w:val="24"/>
        </w:rPr>
        <w:t xml:space="preserve"> maar onderzoek </w:t>
      </w:r>
      <w:r>
        <w:rPr>
          <w:rFonts w:asciiTheme="minorHAnsi" w:hAnsiTheme="minorHAnsi" w:cs="Arial"/>
          <w:sz w:val="24"/>
        </w:rPr>
        <w:t>naar de LD50 is niet te vinden.</w:t>
      </w:r>
    </w:p>
    <w:p w:rsidR="00181C6B" w:rsidRPr="00181C6B" w:rsidRDefault="00181C6B" w:rsidP="00181C6B">
      <w:pPr>
        <w:rPr>
          <w:rFonts w:asciiTheme="minorHAnsi" w:hAnsiTheme="min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0"/>
        <w:gridCol w:w="2842"/>
      </w:tblGrid>
      <w:tr w:rsidR="00181C6B" w:rsidRPr="00181C6B" w:rsidTr="00D7467F">
        <w:tc>
          <w:tcPr>
            <w:tcW w:w="2840" w:type="dxa"/>
            <w:shd w:val="clear" w:color="000000" w:fill="A0A0A0"/>
          </w:tcPr>
          <w:p w:rsidR="00181C6B" w:rsidRPr="00181C6B" w:rsidRDefault="00181C6B" w:rsidP="00D7467F">
            <w:pPr>
              <w:rPr>
                <w:rFonts w:asciiTheme="minorHAnsi" w:hAnsiTheme="minorHAnsi" w:cs="Arial"/>
                <w:b/>
                <w:color w:val="FFFFFF"/>
                <w:sz w:val="24"/>
              </w:rPr>
            </w:pPr>
            <w:r w:rsidRPr="00181C6B">
              <w:rPr>
                <w:rFonts w:asciiTheme="minorHAnsi" w:hAnsiTheme="minorHAnsi" w:cs="Arial"/>
                <w:b/>
                <w:color w:val="FFFFFF"/>
                <w:sz w:val="24"/>
              </w:rPr>
              <w:t>Diersoort</w:t>
            </w:r>
          </w:p>
        </w:tc>
        <w:tc>
          <w:tcPr>
            <w:tcW w:w="2840" w:type="dxa"/>
            <w:shd w:val="clear" w:color="000000" w:fill="A0A0A0"/>
          </w:tcPr>
          <w:p w:rsidR="00181C6B" w:rsidRPr="00181C6B" w:rsidRDefault="00181C6B" w:rsidP="00D7467F">
            <w:pPr>
              <w:rPr>
                <w:rFonts w:asciiTheme="minorHAnsi" w:hAnsiTheme="minorHAnsi" w:cs="Arial"/>
                <w:b/>
                <w:color w:val="FFFFFF"/>
                <w:sz w:val="24"/>
              </w:rPr>
            </w:pPr>
            <w:r w:rsidRPr="00181C6B">
              <w:rPr>
                <w:rFonts w:asciiTheme="minorHAnsi" w:hAnsiTheme="minorHAnsi" w:cs="Arial"/>
                <w:b/>
                <w:color w:val="FFFFFF"/>
                <w:sz w:val="24"/>
              </w:rPr>
              <w:t xml:space="preserve">opname route </w:t>
            </w:r>
          </w:p>
        </w:tc>
        <w:tc>
          <w:tcPr>
            <w:tcW w:w="2842" w:type="dxa"/>
            <w:shd w:val="clear" w:color="000000" w:fill="A0A0A0"/>
          </w:tcPr>
          <w:p w:rsidR="00181C6B" w:rsidRPr="00181C6B" w:rsidRDefault="00E53528" w:rsidP="00D7467F">
            <w:pPr>
              <w:rPr>
                <w:rFonts w:asciiTheme="minorHAnsi" w:hAnsiTheme="minorHAnsi" w:cs="Arial"/>
                <w:b/>
                <w:color w:val="FFFFFF"/>
                <w:sz w:val="24"/>
              </w:rPr>
            </w:pPr>
            <w:r w:rsidRPr="00181C6B">
              <w:rPr>
                <w:rFonts w:asciiTheme="minorHAnsi" w:hAnsiTheme="minorHAnsi" w:cs="Arial"/>
                <w:b/>
                <w:color w:val="FFFFFF"/>
                <w:sz w:val="24"/>
              </w:rPr>
              <w:t>D</w:t>
            </w:r>
            <w:r w:rsidR="00181C6B" w:rsidRPr="00181C6B">
              <w:rPr>
                <w:rFonts w:asciiTheme="minorHAnsi" w:hAnsiTheme="minorHAnsi" w:cs="Arial"/>
                <w:b/>
                <w:color w:val="FFFFFF"/>
                <w:sz w:val="24"/>
              </w:rPr>
              <w:t>osering</w:t>
            </w:r>
            <w:r>
              <w:rPr>
                <w:rFonts w:asciiTheme="minorHAnsi" w:hAnsiTheme="minorHAnsi" w:cs="Arial"/>
                <w:b/>
                <w:color w:val="FFFFFF"/>
                <w:sz w:val="24"/>
              </w:rPr>
              <w:t xml:space="preserve"> (LD50)</w:t>
            </w:r>
          </w:p>
        </w:tc>
      </w:tr>
      <w:tr w:rsidR="00181C6B" w:rsidRPr="00181C6B" w:rsidTr="00D7467F">
        <w:tc>
          <w:tcPr>
            <w:tcW w:w="2840"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Rat</w:t>
            </w:r>
          </w:p>
        </w:tc>
        <w:tc>
          <w:tcPr>
            <w:tcW w:w="2840"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oraal</w:t>
            </w:r>
          </w:p>
        </w:tc>
        <w:tc>
          <w:tcPr>
            <w:tcW w:w="2842"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400 mg/ kg</w:t>
            </w:r>
          </w:p>
        </w:tc>
      </w:tr>
      <w:tr w:rsidR="00181C6B" w:rsidRPr="00181C6B" w:rsidTr="00D7467F">
        <w:tc>
          <w:tcPr>
            <w:tcW w:w="2840" w:type="dxa"/>
            <w:shd w:val="clear" w:color="000000" w:fill="FFFFFF"/>
          </w:tcPr>
          <w:p w:rsidR="00181C6B" w:rsidRPr="00181C6B" w:rsidRDefault="00181C6B" w:rsidP="00D7467F">
            <w:pPr>
              <w:rPr>
                <w:rFonts w:asciiTheme="minorHAnsi" w:hAnsiTheme="minorHAnsi" w:cs="Arial"/>
                <w:sz w:val="24"/>
              </w:rPr>
            </w:pPr>
          </w:p>
        </w:tc>
        <w:tc>
          <w:tcPr>
            <w:tcW w:w="2840"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 xml:space="preserve">dermaal </w:t>
            </w:r>
          </w:p>
        </w:tc>
        <w:tc>
          <w:tcPr>
            <w:tcW w:w="2842"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&gt; 1600 mg/ kg</w:t>
            </w:r>
          </w:p>
        </w:tc>
      </w:tr>
      <w:tr w:rsidR="00181C6B" w:rsidRPr="00181C6B" w:rsidTr="00D7467F">
        <w:tc>
          <w:tcPr>
            <w:tcW w:w="2840"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Muis</w:t>
            </w:r>
          </w:p>
        </w:tc>
        <w:tc>
          <w:tcPr>
            <w:tcW w:w="2840"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oraal</w:t>
            </w:r>
          </w:p>
        </w:tc>
        <w:tc>
          <w:tcPr>
            <w:tcW w:w="2842"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1600 mg/ kg</w:t>
            </w:r>
          </w:p>
        </w:tc>
      </w:tr>
      <w:tr w:rsidR="00181C6B" w:rsidRPr="00181C6B" w:rsidTr="00D7467F">
        <w:tc>
          <w:tcPr>
            <w:tcW w:w="2840"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Konijn</w:t>
            </w:r>
          </w:p>
        </w:tc>
        <w:tc>
          <w:tcPr>
            <w:tcW w:w="2840"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 xml:space="preserve">oraall </w:t>
            </w:r>
          </w:p>
        </w:tc>
        <w:tc>
          <w:tcPr>
            <w:tcW w:w="2842"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&gt; 100 mg/ kg</w:t>
            </w:r>
          </w:p>
        </w:tc>
      </w:tr>
      <w:tr w:rsidR="00181C6B" w:rsidRPr="00181C6B" w:rsidTr="00D7467F">
        <w:tc>
          <w:tcPr>
            <w:tcW w:w="2840" w:type="dxa"/>
            <w:shd w:val="clear" w:color="000000" w:fill="FFFFFF"/>
          </w:tcPr>
          <w:p w:rsidR="00181C6B" w:rsidRPr="00181C6B" w:rsidRDefault="00181C6B" w:rsidP="00D7467F">
            <w:pPr>
              <w:rPr>
                <w:rFonts w:asciiTheme="minorHAnsi" w:hAnsiTheme="minorHAnsi" w:cs="Arial"/>
                <w:sz w:val="24"/>
              </w:rPr>
            </w:pPr>
          </w:p>
        </w:tc>
        <w:tc>
          <w:tcPr>
            <w:tcW w:w="2840"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dermaal</w:t>
            </w:r>
          </w:p>
        </w:tc>
        <w:tc>
          <w:tcPr>
            <w:tcW w:w="2842"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&gt; 200 mg/ kg</w:t>
            </w:r>
          </w:p>
        </w:tc>
      </w:tr>
      <w:tr w:rsidR="00181C6B" w:rsidRPr="00181C6B" w:rsidTr="00D7467F">
        <w:tc>
          <w:tcPr>
            <w:tcW w:w="2840"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 xml:space="preserve">Baviaan </w:t>
            </w:r>
          </w:p>
        </w:tc>
        <w:tc>
          <w:tcPr>
            <w:tcW w:w="2840"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 xml:space="preserve">oraal </w:t>
            </w:r>
          </w:p>
        </w:tc>
        <w:tc>
          <w:tcPr>
            <w:tcW w:w="2842"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150 tot 250 mg/ kg</w:t>
            </w:r>
          </w:p>
        </w:tc>
      </w:tr>
      <w:tr w:rsidR="00181C6B" w:rsidRPr="00181C6B" w:rsidTr="00D7467F">
        <w:tc>
          <w:tcPr>
            <w:tcW w:w="2840"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Hond</w:t>
            </w:r>
          </w:p>
        </w:tc>
        <w:tc>
          <w:tcPr>
            <w:tcW w:w="2840"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 xml:space="preserve">oraal </w:t>
            </w:r>
          </w:p>
        </w:tc>
        <w:tc>
          <w:tcPr>
            <w:tcW w:w="2842"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100 mg/ kg</w:t>
            </w:r>
          </w:p>
        </w:tc>
      </w:tr>
      <w:tr w:rsidR="00181C6B" w:rsidRPr="00181C6B" w:rsidTr="00D7467F">
        <w:tc>
          <w:tcPr>
            <w:tcW w:w="2840"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 xml:space="preserve">Cavia </w:t>
            </w:r>
          </w:p>
        </w:tc>
        <w:tc>
          <w:tcPr>
            <w:tcW w:w="2840"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 xml:space="preserve">oraal </w:t>
            </w:r>
          </w:p>
        </w:tc>
        <w:tc>
          <w:tcPr>
            <w:tcW w:w="2842" w:type="dxa"/>
            <w:shd w:val="clear" w:color="000000" w:fill="FFFFFF"/>
          </w:tcPr>
          <w:p w:rsidR="00181C6B" w:rsidRPr="00181C6B" w:rsidRDefault="00181C6B" w:rsidP="00D7467F">
            <w:pPr>
              <w:rPr>
                <w:rFonts w:asciiTheme="minorHAnsi" w:hAnsiTheme="minorHAnsi" w:cs="Arial"/>
                <w:sz w:val="24"/>
              </w:rPr>
            </w:pPr>
            <w:r w:rsidRPr="00181C6B">
              <w:rPr>
                <w:rFonts w:asciiTheme="minorHAnsi" w:hAnsiTheme="minorHAnsi" w:cs="Arial"/>
                <w:sz w:val="24"/>
              </w:rPr>
              <w:t>400 - 800 mg/ kg</w:t>
            </w:r>
          </w:p>
        </w:tc>
      </w:tr>
    </w:tbl>
    <w:p w:rsidR="001A7CD5" w:rsidRDefault="001A7CD5" w:rsidP="00181C6B">
      <w:pPr>
        <w:rPr>
          <w:rFonts w:asciiTheme="minorHAnsi" w:hAnsiTheme="minorHAnsi" w:cs="Arial"/>
          <w:b/>
          <w:sz w:val="24"/>
        </w:rPr>
      </w:pPr>
    </w:p>
    <w:p w:rsidR="00181C6B" w:rsidRPr="00181C6B" w:rsidRDefault="00181C6B" w:rsidP="00181C6B">
      <w:pPr>
        <w:rPr>
          <w:rFonts w:asciiTheme="minorHAnsi" w:hAnsiTheme="minorHAnsi" w:cs="Arial"/>
          <w:b/>
          <w:sz w:val="24"/>
        </w:rPr>
      </w:pPr>
      <w:r w:rsidRPr="00181C6B">
        <w:rPr>
          <w:rFonts w:asciiTheme="minorHAnsi" w:hAnsiTheme="minorHAnsi" w:cs="Arial"/>
          <w:b/>
          <w:sz w:val="24"/>
        </w:rPr>
        <w:t>Contra-indicaties</w:t>
      </w:r>
    </w:p>
    <w:p w:rsidR="00181C6B" w:rsidRPr="00181C6B" w:rsidRDefault="00181C6B" w:rsidP="00181C6B">
      <w:pPr>
        <w:rPr>
          <w:rFonts w:asciiTheme="minorHAnsi" w:hAnsiTheme="minorHAnsi" w:cs="Arial"/>
          <w:sz w:val="24"/>
        </w:rPr>
      </w:pPr>
      <w:r w:rsidRPr="00181C6B">
        <w:rPr>
          <w:rFonts w:asciiTheme="minorHAnsi" w:hAnsiTheme="minorHAnsi" w:cs="Arial"/>
          <w:sz w:val="24"/>
        </w:rPr>
        <w:t>Amitraz mag niet gebruikt wor</w:t>
      </w:r>
      <w:r>
        <w:rPr>
          <w:rFonts w:asciiTheme="minorHAnsi" w:hAnsiTheme="minorHAnsi" w:cs="Arial"/>
          <w:sz w:val="24"/>
        </w:rPr>
        <w:t xml:space="preserve">den voor katten en chihuahuas. </w:t>
      </w:r>
      <w:r w:rsidRPr="00181C6B">
        <w:rPr>
          <w:rFonts w:asciiTheme="minorHAnsi" w:hAnsiTheme="minorHAnsi" w:cs="Arial"/>
          <w:sz w:val="24"/>
        </w:rPr>
        <w:t>Vroeger werd amitraz gebruikt voor de oormijtbestrijding bij de kat maar voor deze indicatie is het niet geregistreerd.</w:t>
      </w:r>
    </w:p>
    <w:p w:rsidR="00181C6B" w:rsidRPr="00181C6B" w:rsidRDefault="00181C6B" w:rsidP="00181C6B">
      <w:pPr>
        <w:rPr>
          <w:rFonts w:asciiTheme="minorHAnsi" w:hAnsiTheme="minorHAnsi" w:cs="Arial"/>
          <w:sz w:val="24"/>
        </w:rPr>
      </w:pPr>
      <w:r w:rsidRPr="00181C6B">
        <w:rPr>
          <w:rFonts w:asciiTheme="minorHAnsi" w:hAnsiTheme="minorHAnsi" w:cs="Arial"/>
          <w:sz w:val="24"/>
        </w:rPr>
        <w:t>Daarnaast mag het niet gebruikt worden voor honden in geval van dracht, lactatie en als honden jonger zijn dan 12 weken.</w:t>
      </w:r>
    </w:p>
    <w:p w:rsidR="00181C6B" w:rsidRPr="00181C6B" w:rsidRDefault="00181C6B" w:rsidP="00181C6B">
      <w:pPr>
        <w:rPr>
          <w:rFonts w:asciiTheme="minorHAnsi" w:hAnsiTheme="minorHAnsi" w:cs="Arial"/>
          <w:b/>
          <w:sz w:val="24"/>
        </w:rPr>
      </w:pPr>
    </w:p>
    <w:p w:rsidR="00181C6B" w:rsidRPr="00181C6B" w:rsidRDefault="00181C6B" w:rsidP="00181C6B">
      <w:pPr>
        <w:rPr>
          <w:rFonts w:asciiTheme="minorHAnsi" w:hAnsiTheme="minorHAnsi" w:cs="Arial"/>
          <w:b/>
          <w:sz w:val="24"/>
        </w:rPr>
      </w:pPr>
      <w:r w:rsidRPr="00181C6B">
        <w:rPr>
          <w:rFonts w:asciiTheme="minorHAnsi" w:hAnsiTheme="minorHAnsi" w:cs="Arial"/>
          <w:b/>
          <w:sz w:val="24"/>
        </w:rPr>
        <w:t>Symptomen bij overdosering:</w:t>
      </w:r>
    </w:p>
    <w:p w:rsidR="00181C6B" w:rsidRDefault="00181C6B" w:rsidP="00181C6B">
      <w:pPr>
        <w:rPr>
          <w:rFonts w:asciiTheme="minorHAnsi" w:hAnsiTheme="minorHAnsi" w:cs="Arial"/>
          <w:sz w:val="24"/>
        </w:rPr>
      </w:pPr>
      <w:r w:rsidRPr="00181C6B">
        <w:rPr>
          <w:rFonts w:asciiTheme="minorHAnsi" w:hAnsiTheme="minorHAnsi" w:cs="Arial"/>
          <w:sz w:val="24"/>
        </w:rPr>
        <w:t>De symptomen zijn afhankelijk van de diersoort en van individuele gevoeligheid.</w:t>
      </w:r>
    </w:p>
    <w:p w:rsidR="00E53528" w:rsidRDefault="00E53528" w:rsidP="00181C6B">
      <w:pPr>
        <w:rPr>
          <w:rFonts w:asciiTheme="minorHAnsi" w:hAnsiTheme="minorHAnsi" w:cs="Arial"/>
          <w:sz w:val="24"/>
        </w:rPr>
      </w:pPr>
    </w:p>
    <w:p w:rsidR="00E53528" w:rsidRPr="00181C6B" w:rsidRDefault="00E53528" w:rsidP="00E53528">
      <w:pPr>
        <w:rPr>
          <w:rFonts w:asciiTheme="minorHAnsi" w:hAnsiTheme="minorHAnsi" w:cs="Arial"/>
          <w:sz w:val="24"/>
        </w:rPr>
      </w:pPr>
      <w:r w:rsidRPr="00181C6B">
        <w:rPr>
          <w:rFonts w:asciiTheme="minorHAnsi" w:hAnsiTheme="minorHAnsi" w:cs="Arial"/>
          <w:sz w:val="24"/>
        </w:rPr>
        <w:t xml:space="preserve">Na orale opname beginnen de symptomen na 1 uur tot 2 dagen. Na cutane absorptie kunnen de eerste </w:t>
      </w:r>
      <w:r>
        <w:rPr>
          <w:rFonts w:asciiTheme="minorHAnsi" w:hAnsiTheme="minorHAnsi" w:cs="Arial"/>
          <w:sz w:val="24"/>
        </w:rPr>
        <w:t>symptomen pas optreden na 3-</w:t>
      </w:r>
      <w:r w:rsidRPr="00181C6B">
        <w:rPr>
          <w:rFonts w:asciiTheme="minorHAnsi" w:hAnsiTheme="minorHAnsi" w:cs="Arial"/>
          <w:sz w:val="24"/>
        </w:rPr>
        <w:t>4 dagen. Het effect van amitraz duurt tussen de 1 en 3 dagen.</w:t>
      </w:r>
    </w:p>
    <w:p w:rsidR="00E53528" w:rsidRDefault="00E53528" w:rsidP="00181C6B">
      <w:pPr>
        <w:rPr>
          <w:rFonts w:asciiTheme="minorHAnsi" w:hAnsiTheme="minorHAnsi" w:cs="Arial"/>
          <w:sz w:val="24"/>
        </w:rPr>
      </w:pPr>
    </w:p>
    <w:p w:rsidR="00181C6B" w:rsidRDefault="00181C6B" w:rsidP="00181C6B">
      <w:pPr>
        <w:rPr>
          <w:rFonts w:asciiTheme="minorHAnsi" w:hAnsiTheme="minorHAnsi" w:cs="Arial"/>
          <w:sz w:val="24"/>
        </w:rPr>
      </w:pPr>
      <w:r w:rsidRPr="00181C6B">
        <w:rPr>
          <w:rFonts w:asciiTheme="minorHAnsi" w:hAnsiTheme="minorHAnsi" w:cs="Arial"/>
          <w:sz w:val="24"/>
        </w:rPr>
        <w:t>De alpha- adrenoreceptor agonistwerking veroorzaakt bij knaagdieren darmstase en bij alle zoogdieren een sympathische respons; verhoging van de hartfrequentie, hoge bloeddruk, grote pupi</w:t>
      </w:r>
      <w:r w:rsidR="00E53528">
        <w:rPr>
          <w:rFonts w:asciiTheme="minorHAnsi" w:hAnsiTheme="minorHAnsi" w:cs="Arial"/>
          <w:sz w:val="24"/>
        </w:rPr>
        <w:t>llen, sterke doorbloeding van</w:t>
      </w:r>
      <w:r w:rsidRPr="00181C6B">
        <w:rPr>
          <w:rFonts w:asciiTheme="minorHAnsi" w:hAnsiTheme="minorHAnsi" w:cs="Arial"/>
          <w:sz w:val="24"/>
        </w:rPr>
        <w:t xml:space="preserve"> spieren, hypothermie en depressi</w:t>
      </w:r>
      <w:r w:rsidR="00E53528">
        <w:rPr>
          <w:rFonts w:asciiTheme="minorHAnsi" w:hAnsiTheme="minorHAnsi" w:cs="Arial"/>
          <w:sz w:val="24"/>
        </w:rPr>
        <w:t>e van het centrale zenuwstelsel.</w:t>
      </w:r>
    </w:p>
    <w:p w:rsidR="00181C6B" w:rsidRDefault="00181C6B" w:rsidP="00181C6B">
      <w:pPr>
        <w:rPr>
          <w:rFonts w:asciiTheme="minorHAnsi" w:hAnsiTheme="minorHAnsi" w:cs="Arial"/>
          <w:sz w:val="24"/>
        </w:rPr>
      </w:pPr>
      <w:r w:rsidRPr="00181C6B">
        <w:rPr>
          <w:rFonts w:asciiTheme="minorHAnsi" w:hAnsiTheme="minorHAnsi" w:cs="Arial"/>
          <w:sz w:val="24"/>
        </w:rPr>
        <w:lastRenderedPageBreak/>
        <w:t>Verschillende metabolieten ontstaan door afbraak van amitraz en deze zijn niet allemaal onderzocht. Sommige dieren laten juist bloedrukverlaging en lage hartfreqentie zien.</w:t>
      </w:r>
    </w:p>
    <w:p w:rsidR="00E53528" w:rsidRPr="00181C6B" w:rsidRDefault="00E53528" w:rsidP="00181C6B">
      <w:pPr>
        <w:rPr>
          <w:rFonts w:asciiTheme="minorHAnsi" w:hAnsiTheme="minorHAnsi" w:cs="Arial"/>
          <w:sz w:val="24"/>
        </w:rPr>
      </w:pPr>
    </w:p>
    <w:p w:rsidR="00181C6B" w:rsidRPr="00181C6B" w:rsidRDefault="00181C6B" w:rsidP="00181C6B">
      <w:pPr>
        <w:rPr>
          <w:rFonts w:asciiTheme="minorHAnsi" w:hAnsiTheme="minorHAnsi" w:cs="Arial"/>
          <w:sz w:val="24"/>
        </w:rPr>
      </w:pPr>
      <w:r w:rsidRPr="00181C6B">
        <w:rPr>
          <w:rFonts w:asciiTheme="minorHAnsi" w:hAnsiTheme="minorHAnsi" w:cs="Arial"/>
          <w:sz w:val="24"/>
        </w:rPr>
        <w:t>De inhibitie van monoamine oxidase (MAO) veroorzaakt bij in ieder geval honden een verhoging van plasma glucose</w:t>
      </w:r>
      <w:r w:rsidR="00977577">
        <w:rPr>
          <w:rFonts w:asciiTheme="minorHAnsi" w:hAnsiTheme="minorHAnsi" w:cs="Arial"/>
          <w:sz w:val="24"/>
        </w:rPr>
        <w:t xml:space="preserve"> door insulin resistentie.</w:t>
      </w:r>
      <w:r w:rsidRPr="00181C6B">
        <w:rPr>
          <w:rFonts w:asciiTheme="minorHAnsi" w:hAnsiTheme="minorHAnsi" w:cs="Arial"/>
          <w:sz w:val="24"/>
        </w:rPr>
        <w:t xml:space="preserve"> </w:t>
      </w:r>
    </w:p>
    <w:p w:rsidR="00E53528" w:rsidRDefault="00E53528" w:rsidP="00181C6B">
      <w:pPr>
        <w:rPr>
          <w:rFonts w:asciiTheme="minorHAnsi" w:hAnsiTheme="minorHAnsi" w:cs="Arial"/>
          <w:sz w:val="24"/>
        </w:rPr>
      </w:pPr>
    </w:p>
    <w:p w:rsidR="00181C6B" w:rsidRDefault="00181C6B" w:rsidP="00181C6B">
      <w:pPr>
        <w:rPr>
          <w:rFonts w:asciiTheme="minorHAnsi" w:hAnsiTheme="minorHAnsi" w:cs="Arial"/>
          <w:sz w:val="24"/>
        </w:rPr>
      </w:pPr>
      <w:r w:rsidRPr="00181C6B">
        <w:rPr>
          <w:rFonts w:asciiTheme="minorHAnsi" w:hAnsiTheme="minorHAnsi" w:cs="Arial"/>
          <w:sz w:val="24"/>
        </w:rPr>
        <w:t>De inhibitie van de prostaglandine synthese veroorzaakt ontstekingsremming en een aspirine-achtige activiteit.</w:t>
      </w:r>
    </w:p>
    <w:p w:rsidR="00E53528" w:rsidRDefault="00E53528" w:rsidP="00181C6B">
      <w:pPr>
        <w:rPr>
          <w:rFonts w:asciiTheme="minorHAnsi" w:hAnsiTheme="minorHAnsi" w:cs="Arial"/>
          <w:sz w:val="24"/>
        </w:rPr>
      </w:pPr>
    </w:p>
    <w:p w:rsidR="00181C6B" w:rsidRPr="00181C6B" w:rsidRDefault="00E53528" w:rsidP="00181C6B">
      <w:pPr>
        <w:rPr>
          <w:rFonts w:asciiTheme="minorHAnsi" w:hAnsiTheme="minorHAnsi" w:cs="Arial"/>
          <w:sz w:val="24"/>
        </w:rPr>
      </w:pPr>
      <w:r>
        <w:rPr>
          <w:rFonts w:asciiTheme="minorHAnsi" w:hAnsiTheme="minorHAnsi" w:cs="Arial"/>
          <w:sz w:val="24"/>
        </w:rPr>
        <w:t>De interactie met octopamine</w:t>
      </w:r>
      <w:r w:rsidR="00181C6B" w:rsidRPr="00181C6B">
        <w:rPr>
          <w:rFonts w:asciiTheme="minorHAnsi" w:hAnsiTheme="minorHAnsi" w:cs="Arial"/>
          <w:sz w:val="24"/>
        </w:rPr>
        <w:t>receptoren veroorzaakt voor zover beken</w:t>
      </w:r>
      <w:r>
        <w:rPr>
          <w:rFonts w:asciiTheme="minorHAnsi" w:hAnsiTheme="minorHAnsi" w:cs="Arial"/>
          <w:sz w:val="24"/>
        </w:rPr>
        <w:t>d alleen problemen bij insecten.</w:t>
      </w:r>
    </w:p>
    <w:p w:rsidR="00181C6B" w:rsidRPr="00181C6B" w:rsidRDefault="00181C6B" w:rsidP="00181C6B">
      <w:pPr>
        <w:rPr>
          <w:rFonts w:asciiTheme="minorHAnsi" w:hAnsiTheme="minorHAnsi" w:cs="Arial"/>
          <w:sz w:val="24"/>
        </w:rPr>
      </w:pPr>
    </w:p>
    <w:p w:rsidR="00181C6B" w:rsidRPr="00181C6B" w:rsidRDefault="00181C6B" w:rsidP="00181C6B">
      <w:pPr>
        <w:rPr>
          <w:rFonts w:asciiTheme="minorHAnsi" w:hAnsiTheme="minorHAnsi" w:cs="Arial"/>
          <w:sz w:val="24"/>
        </w:rPr>
      </w:pPr>
      <w:r w:rsidRPr="00181C6B">
        <w:rPr>
          <w:rFonts w:asciiTheme="minorHAnsi" w:hAnsiTheme="minorHAnsi" w:cs="Arial"/>
          <w:sz w:val="24"/>
        </w:rPr>
        <w:t>Amitraz is daarnaast nog een irritant en veroorzaakt jeuk en kaalheid bij huidcontact en irritatie van slijmvliezen van ogen, mondholte en slokdarm bij orale opname. Door irritatie van de maag gaan de patienten braken en hebben ze weinig eetlust.</w:t>
      </w:r>
    </w:p>
    <w:p w:rsidR="00181C6B" w:rsidRPr="00181C6B" w:rsidRDefault="00181C6B" w:rsidP="00181C6B">
      <w:pPr>
        <w:rPr>
          <w:rFonts w:asciiTheme="minorHAnsi" w:hAnsiTheme="minorHAnsi" w:cs="Arial"/>
          <w:sz w:val="24"/>
        </w:rPr>
      </w:pPr>
    </w:p>
    <w:p w:rsidR="00181C6B" w:rsidRPr="00181C6B" w:rsidRDefault="00181C6B" w:rsidP="00181C6B">
      <w:pPr>
        <w:rPr>
          <w:rFonts w:asciiTheme="minorHAnsi" w:hAnsiTheme="minorHAnsi" w:cs="Arial"/>
          <w:b/>
          <w:sz w:val="24"/>
        </w:rPr>
      </w:pPr>
    </w:p>
    <w:p w:rsidR="00181C6B" w:rsidRPr="00181C6B" w:rsidRDefault="00181C6B" w:rsidP="00181C6B">
      <w:pPr>
        <w:rPr>
          <w:rFonts w:asciiTheme="minorHAnsi" w:hAnsiTheme="minorHAnsi" w:cs="Arial"/>
          <w:b/>
          <w:sz w:val="24"/>
        </w:rPr>
      </w:pPr>
      <w:r w:rsidRPr="00181C6B">
        <w:rPr>
          <w:rFonts w:asciiTheme="minorHAnsi" w:hAnsiTheme="minorHAnsi" w:cs="Arial"/>
          <w:b/>
          <w:sz w:val="24"/>
        </w:rPr>
        <w:t>Behandeling</w:t>
      </w:r>
      <w:r w:rsidR="00E53528">
        <w:rPr>
          <w:rFonts w:asciiTheme="minorHAnsi" w:hAnsiTheme="minorHAnsi" w:cs="Arial"/>
          <w:b/>
          <w:sz w:val="24"/>
        </w:rPr>
        <w:t>:</w:t>
      </w:r>
    </w:p>
    <w:p w:rsidR="00181C6B" w:rsidRDefault="00181C6B" w:rsidP="00181C6B">
      <w:pPr>
        <w:pStyle w:val="Lijstalinea"/>
        <w:numPr>
          <w:ilvl w:val="0"/>
          <w:numId w:val="1"/>
        </w:numPr>
        <w:rPr>
          <w:rFonts w:asciiTheme="minorHAnsi" w:hAnsiTheme="minorHAnsi" w:cs="Arial"/>
          <w:sz w:val="24"/>
        </w:rPr>
      </w:pPr>
      <w:r w:rsidRPr="00181C6B">
        <w:rPr>
          <w:rFonts w:asciiTheme="minorHAnsi" w:hAnsiTheme="minorHAnsi" w:cs="Arial"/>
          <w:sz w:val="24"/>
        </w:rPr>
        <w:t>Bij intoxicatie bestaat de behandeling uit het verwijderen van de stof:</w:t>
      </w:r>
    </w:p>
    <w:p w:rsidR="00181C6B" w:rsidRPr="00181C6B" w:rsidRDefault="00181C6B" w:rsidP="00181C6B">
      <w:pPr>
        <w:pStyle w:val="Lijstalinea"/>
        <w:ind w:left="360"/>
        <w:rPr>
          <w:rFonts w:asciiTheme="minorHAnsi" w:hAnsiTheme="minorHAnsi" w:cs="Arial"/>
          <w:sz w:val="24"/>
        </w:rPr>
      </w:pPr>
      <w:r w:rsidRPr="00181C6B">
        <w:rPr>
          <w:rFonts w:asciiTheme="minorHAnsi" w:hAnsiTheme="minorHAnsi" w:cs="Arial"/>
          <w:sz w:val="24"/>
        </w:rPr>
        <w:t>- bij transdermale intoxicatie door te wassen met een detergent (afwasmiddel). Amitraz is carcinogeen bij de mens en dus wassen met hand</w:t>
      </w:r>
      <w:r>
        <w:rPr>
          <w:rFonts w:asciiTheme="minorHAnsi" w:hAnsiTheme="minorHAnsi" w:cs="Arial"/>
          <w:sz w:val="24"/>
        </w:rPr>
        <w:t xml:space="preserve">schoenen om huidcontact </w:t>
      </w:r>
      <w:r w:rsidRPr="00181C6B">
        <w:rPr>
          <w:rFonts w:asciiTheme="minorHAnsi" w:hAnsiTheme="minorHAnsi" w:cs="Arial"/>
          <w:sz w:val="24"/>
        </w:rPr>
        <w:t>te voorkomen.</w:t>
      </w:r>
    </w:p>
    <w:p w:rsidR="00181C6B" w:rsidRDefault="00181C6B" w:rsidP="00181C6B">
      <w:pPr>
        <w:rPr>
          <w:rFonts w:asciiTheme="minorHAnsi" w:hAnsiTheme="minorHAnsi" w:cs="Arial"/>
          <w:sz w:val="24"/>
        </w:rPr>
      </w:pPr>
      <w:r>
        <w:rPr>
          <w:rFonts w:asciiTheme="minorHAnsi" w:hAnsiTheme="minorHAnsi" w:cs="Arial"/>
          <w:sz w:val="24"/>
        </w:rPr>
        <w:t xml:space="preserve">      - b</w:t>
      </w:r>
      <w:r w:rsidRPr="00181C6B">
        <w:rPr>
          <w:rFonts w:asciiTheme="minorHAnsi" w:hAnsiTheme="minorHAnsi" w:cs="Arial"/>
          <w:sz w:val="24"/>
        </w:rPr>
        <w:t>ij intoxicatie door orale opname laten braken als het dier nog geen neuro</w:t>
      </w:r>
      <w:r>
        <w:rPr>
          <w:rFonts w:asciiTheme="minorHAnsi" w:hAnsiTheme="minorHAnsi" w:cs="Arial"/>
          <w:sz w:val="24"/>
        </w:rPr>
        <w:t xml:space="preserve">logische </w:t>
      </w:r>
    </w:p>
    <w:p w:rsidR="00181C6B" w:rsidRPr="00181C6B" w:rsidRDefault="00181C6B" w:rsidP="00181C6B">
      <w:pPr>
        <w:rPr>
          <w:rFonts w:asciiTheme="minorHAnsi" w:hAnsiTheme="minorHAnsi" w:cs="Arial"/>
          <w:sz w:val="24"/>
        </w:rPr>
      </w:pPr>
      <w:r>
        <w:rPr>
          <w:rFonts w:asciiTheme="minorHAnsi" w:hAnsiTheme="minorHAnsi" w:cs="Arial"/>
          <w:sz w:val="24"/>
        </w:rPr>
        <w:t xml:space="preserve">      verschijnselen heeft. </w:t>
      </w:r>
      <w:r w:rsidRPr="00181C6B">
        <w:rPr>
          <w:rFonts w:asciiTheme="minorHAnsi" w:hAnsiTheme="minorHAnsi" w:cs="Arial"/>
          <w:sz w:val="24"/>
        </w:rPr>
        <w:t>Naast laten braken ook behandelen met Norit en natriumsulfaat.</w:t>
      </w:r>
    </w:p>
    <w:p w:rsidR="00181C6B" w:rsidRPr="00181C6B" w:rsidRDefault="00181C6B" w:rsidP="00181C6B">
      <w:pPr>
        <w:pStyle w:val="Lijstalinea"/>
        <w:numPr>
          <w:ilvl w:val="0"/>
          <w:numId w:val="1"/>
        </w:numPr>
        <w:rPr>
          <w:rFonts w:asciiTheme="minorHAnsi" w:hAnsiTheme="minorHAnsi" w:cs="Arial"/>
          <w:sz w:val="24"/>
        </w:rPr>
      </w:pPr>
      <w:r w:rsidRPr="00181C6B">
        <w:rPr>
          <w:rFonts w:asciiTheme="minorHAnsi" w:hAnsiTheme="minorHAnsi" w:cs="Arial"/>
          <w:sz w:val="24"/>
        </w:rPr>
        <w:t>De stof veroorzaakt hypotensie en vaak ook koliek en darmstase daarom wordt het gebruik van atropine ontraden.</w:t>
      </w:r>
    </w:p>
    <w:p w:rsidR="00181C6B" w:rsidRPr="00181C6B" w:rsidRDefault="00181C6B" w:rsidP="00181C6B">
      <w:pPr>
        <w:pStyle w:val="Lijstalinea"/>
        <w:numPr>
          <w:ilvl w:val="0"/>
          <w:numId w:val="1"/>
        </w:numPr>
        <w:rPr>
          <w:rFonts w:asciiTheme="minorHAnsi" w:hAnsiTheme="minorHAnsi" w:cs="Arial"/>
          <w:sz w:val="24"/>
        </w:rPr>
      </w:pPr>
      <w:r w:rsidRPr="00181C6B">
        <w:rPr>
          <w:rFonts w:asciiTheme="minorHAnsi" w:hAnsiTheme="minorHAnsi" w:cs="Arial"/>
          <w:sz w:val="24"/>
        </w:rPr>
        <w:t>Naast het verwijderen van de stof van huid en MDK wordt beschreven dat de patiënten behandeld kunnen worden met infuus om de metabolieten sneller uit te laten plassen. Sommige dieren reageren met bradycardie en hypertensie en in deze gevallen is infuus gecontraindiceerd.</w:t>
      </w:r>
    </w:p>
    <w:p w:rsidR="00181C6B" w:rsidRPr="00181C6B" w:rsidRDefault="00181C6B" w:rsidP="00181C6B">
      <w:pPr>
        <w:pStyle w:val="Lijstalinea"/>
        <w:numPr>
          <w:ilvl w:val="0"/>
          <w:numId w:val="1"/>
        </w:numPr>
        <w:rPr>
          <w:rFonts w:asciiTheme="minorHAnsi" w:hAnsiTheme="minorHAnsi" w:cs="Arial"/>
          <w:sz w:val="24"/>
        </w:rPr>
      </w:pPr>
      <w:r w:rsidRPr="00181C6B">
        <w:rPr>
          <w:rFonts w:asciiTheme="minorHAnsi" w:hAnsiTheme="minorHAnsi" w:cs="Arial"/>
          <w:sz w:val="24"/>
        </w:rPr>
        <w:t>Hypothermie is een bekend probleem en de temperatuur moet dus langdurig en regelmatig gecontroleerd worden</w:t>
      </w:r>
    </w:p>
    <w:p w:rsidR="00181C6B" w:rsidRPr="00E53528" w:rsidRDefault="00181C6B" w:rsidP="00181C6B">
      <w:pPr>
        <w:pStyle w:val="Lijstalinea"/>
        <w:numPr>
          <w:ilvl w:val="0"/>
          <w:numId w:val="1"/>
        </w:numPr>
        <w:rPr>
          <w:rFonts w:asciiTheme="minorHAnsi" w:hAnsiTheme="minorHAnsi" w:cs="Arial"/>
          <w:sz w:val="24"/>
        </w:rPr>
      </w:pPr>
      <w:r w:rsidRPr="00181C6B">
        <w:rPr>
          <w:rFonts w:asciiTheme="minorHAnsi" w:hAnsiTheme="minorHAnsi" w:cs="Arial"/>
          <w:sz w:val="24"/>
        </w:rPr>
        <w:t>Daarnaast is het verstandig om regelmatig de glucose te bepalen. Gebruik van insuline wordt niet geadviseerd omdat niet bekend is hoe</w:t>
      </w:r>
      <w:r w:rsidR="00977577">
        <w:rPr>
          <w:rFonts w:asciiTheme="minorHAnsi" w:hAnsiTheme="minorHAnsi" w:cs="Arial"/>
          <w:sz w:val="24"/>
        </w:rPr>
        <w:t xml:space="preserve"> lang de insulineresistentie</w:t>
      </w:r>
      <w:r w:rsidRPr="00181C6B">
        <w:rPr>
          <w:rFonts w:asciiTheme="minorHAnsi" w:hAnsiTheme="minorHAnsi" w:cs="Arial"/>
          <w:sz w:val="24"/>
        </w:rPr>
        <w:t xml:space="preserve"> aanhoud</w:t>
      </w:r>
      <w:r w:rsidR="00977577">
        <w:rPr>
          <w:rFonts w:asciiTheme="minorHAnsi" w:hAnsiTheme="minorHAnsi" w:cs="Arial"/>
          <w:sz w:val="24"/>
        </w:rPr>
        <w:t>t;</w:t>
      </w:r>
      <w:r w:rsidRPr="00181C6B">
        <w:rPr>
          <w:rFonts w:asciiTheme="minorHAnsi" w:hAnsiTheme="minorHAnsi" w:cs="Arial"/>
          <w:sz w:val="24"/>
        </w:rPr>
        <w:t xml:space="preserve"> </w:t>
      </w:r>
      <w:r w:rsidR="00977577">
        <w:rPr>
          <w:rFonts w:asciiTheme="minorHAnsi" w:hAnsiTheme="minorHAnsi" w:cs="Arial"/>
          <w:sz w:val="24"/>
        </w:rPr>
        <w:t xml:space="preserve">waardoor </w:t>
      </w:r>
      <w:r w:rsidRPr="00181C6B">
        <w:rPr>
          <w:rFonts w:asciiTheme="minorHAnsi" w:hAnsiTheme="minorHAnsi" w:cs="Arial"/>
          <w:sz w:val="24"/>
        </w:rPr>
        <w:t>een hypo na insulinegift kan optreden.</w:t>
      </w:r>
    </w:p>
    <w:p w:rsidR="00181C6B" w:rsidRPr="00E53528" w:rsidRDefault="00181C6B" w:rsidP="00E53528">
      <w:pPr>
        <w:pStyle w:val="Lijstalinea"/>
        <w:numPr>
          <w:ilvl w:val="0"/>
          <w:numId w:val="1"/>
        </w:numPr>
        <w:rPr>
          <w:rFonts w:asciiTheme="minorHAnsi" w:hAnsiTheme="minorHAnsi" w:cs="Arial"/>
          <w:sz w:val="24"/>
        </w:rPr>
      </w:pPr>
      <w:r w:rsidRPr="00E53528">
        <w:rPr>
          <w:rFonts w:asciiTheme="minorHAnsi" w:hAnsiTheme="minorHAnsi" w:cs="Arial"/>
          <w:sz w:val="24"/>
        </w:rPr>
        <w:t>Amitraz antagonisten zijn alfa-</w:t>
      </w:r>
      <w:r w:rsidR="00E53528">
        <w:rPr>
          <w:rFonts w:asciiTheme="minorHAnsi" w:hAnsiTheme="minorHAnsi" w:cs="Arial"/>
          <w:sz w:val="24"/>
        </w:rPr>
        <w:t>2-adrenerge antagonisten zoals atipamezol (Sedastop® of A</w:t>
      </w:r>
      <w:r w:rsidRPr="00E53528">
        <w:rPr>
          <w:rFonts w:asciiTheme="minorHAnsi" w:hAnsiTheme="minorHAnsi" w:cs="Arial"/>
          <w:sz w:val="24"/>
        </w:rPr>
        <w:t>ntisedan</w:t>
      </w:r>
      <w:r w:rsidR="00E53528">
        <w:rPr>
          <w:rFonts w:asciiTheme="minorHAnsi" w:hAnsiTheme="minorHAnsi" w:cs="Arial"/>
          <w:sz w:val="24"/>
        </w:rPr>
        <w:t>®</w:t>
      </w:r>
      <w:r w:rsidRPr="00E53528">
        <w:rPr>
          <w:rFonts w:asciiTheme="minorHAnsi" w:hAnsiTheme="minorHAnsi" w:cs="Arial"/>
          <w:sz w:val="24"/>
        </w:rPr>
        <w:t>)</w:t>
      </w:r>
    </w:p>
    <w:p w:rsidR="00181C6B" w:rsidRPr="00181C6B" w:rsidRDefault="00E53528" w:rsidP="00181C6B">
      <w:pPr>
        <w:rPr>
          <w:rFonts w:asciiTheme="minorHAnsi" w:hAnsiTheme="minorHAnsi" w:cs="Arial"/>
          <w:sz w:val="24"/>
        </w:rPr>
      </w:pPr>
      <w:r>
        <w:rPr>
          <w:rFonts w:asciiTheme="minorHAnsi" w:hAnsiTheme="minorHAnsi" w:cs="Arial"/>
          <w:sz w:val="24"/>
        </w:rPr>
        <w:t xml:space="preserve">      </w:t>
      </w:r>
      <w:r w:rsidR="00181C6B" w:rsidRPr="00181C6B">
        <w:rPr>
          <w:rFonts w:asciiTheme="minorHAnsi" w:hAnsiTheme="minorHAnsi" w:cs="Arial"/>
          <w:sz w:val="24"/>
        </w:rPr>
        <w:t>Atipamezol 0,05 tot 0.2 mg/kg IM bij spoed ook IV mogelijk.</w:t>
      </w:r>
    </w:p>
    <w:p w:rsidR="00181C6B" w:rsidRPr="00181C6B" w:rsidRDefault="00E53528" w:rsidP="00181C6B">
      <w:pPr>
        <w:rPr>
          <w:rFonts w:asciiTheme="minorHAnsi" w:hAnsiTheme="minorHAnsi" w:cs="Arial"/>
          <w:sz w:val="24"/>
        </w:rPr>
      </w:pPr>
      <w:r>
        <w:rPr>
          <w:rFonts w:asciiTheme="minorHAnsi" w:hAnsiTheme="minorHAnsi" w:cs="Arial"/>
          <w:sz w:val="24"/>
        </w:rPr>
        <w:t xml:space="preserve">      </w:t>
      </w:r>
      <w:r w:rsidR="00181C6B" w:rsidRPr="00181C6B">
        <w:rPr>
          <w:rFonts w:asciiTheme="minorHAnsi" w:hAnsiTheme="minorHAnsi" w:cs="Arial"/>
          <w:sz w:val="24"/>
        </w:rPr>
        <w:t>(T1/2 1.5 tot 2 uur) meestal dus iedere 2 tot 4 uur herhalen.</w:t>
      </w:r>
    </w:p>
    <w:p w:rsidR="00E53528" w:rsidRDefault="00E53528" w:rsidP="00181C6B">
      <w:pPr>
        <w:rPr>
          <w:rFonts w:asciiTheme="minorHAnsi" w:hAnsiTheme="minorHAnsi" w:cs="Arial"/>
          <w:sz w:val="24"/>
        </w:rPr>
      </w:pPr>
      <w:r>
        <w:rPr>
          <w:rFonts w:asciiTheme="minorHAnsi" w:hAnsiTheme="minorHAnsi" w:cs="Arial"/>
          <w:sz w:val="24"/>
        </w:rPr>
        <w:t xml:space="preserve">      </w:t>
      </w:r>
      <w:r w:rsidR="00181C6B" w:rsidRPr="00181C6B">
        <w:rPr>
          <w:rFonts w:asciiTheme="minorHAnsi" w:hAnsiTheme="minorHAnsi" w:cs="Arial"/>
          <w:sz w:val="24"/>
        </w:rPr>
        <w:t xml:space="preserve">Deze therapie zal geen effect hebben op de bloedsuiker en deze moet dus gecontroleerd </w:t>
      </w:r>
    </w:p>
    <w:p w:rsidR="00181C6B" w:rsidRPr="00181C6B" w:rsidRDefault="00E53528" w:rsidP="00181C6B">
      <w:pPr>
        <w:rPr>
          <w:rFonts w:asciiTheme="minorHAnsi" w:hAnsiTheme="minorHAnsi" w:cs="Arial"/>
          <w:sz w:val="24"/>
        </w:rPr>
      </w:pPr>
      <w:r>
        <w:rPr>
          <w:rFonts w:asciiTheme="minorHAnsi" w:hAnsiTheme="minorHAnsi" w:cs="Arial"/>
          <w:sz w:val="24"/>
        </w:rPr>
        <w:t xml:space="preserve">      </w:t>
      </w:r>
      <w:r w:rsidR="00181C6B" w:rsidRPr="00181C6B">
        <w:rPr>
          <w:rFonts w:asciiTheme="minorHAnsi" w:hAnsiTheme="minorHAnsi" w:cs="Arial"/>
          <w:sz w:val="24"/>
        </w:rPr>
        <w:t>worden tot normaal zelfs als de andere symptomen zijn verdwenen.</w:t>
      </w:r>
    </w:p>
    <w:p w:rsidR="00181C6B" w:rsidRPr="00E53528" w:rsidRDefault="00181C6B" w:rsidP="00E53528">
      <w:pPr>
        <w:pStyle w:val="Lijstalinea"/>
        <w:numPr>
          <w:ilvl w:val="0"/>
          <w:numId w:val="2"/>
        </w:numPr>
        <w:rPr>
          <w:rFonts w:asciiTheme="minorHAnsi" w:hAnsiTheme="minorHAnsi"/>
          <w:sz w:val="28"/>
          <w:szCs w:val="28"/>
        </w:rPr>
      </w:pPr>
      <w:r w:rsidRPr="00E53528">
        <w:rPr>
          <w:rFonts w:asciiTheme="minorHAnsi" w:hAnsiTheme="minorHAnsi" w:cs="Arial"/>
          <w:sz w:val="24"/>
        </w:rPr>
        <w:t>Mensen worden bij intoxicatie gecontroleerd en geobserveerd tot 24 uur na de laatste symptomen</w:t>
      </w:r>
      <w:r w:rsidRPr="00E53528">
        <w:rPr>
          <w:rFonts w:asciiTheme="minorHAnsi" w:hAnsiTheme="minorHAnsi"/>
          <w:sz w:val="28"/>
          <w:szCs w:val="28"/>
        </w:rPr>
        <w:t>.</w:t>
      </w:r>
    </w:p>
    <w:p w:rsidR="00A401E1" w:rsidRPr="00181C6B" w:rsidRDefault="00A401E1" w:rsidP="00181C6B">
      <w:bookmarkStart w:id="0" w:name="_GoBack"/>
      <w:bookmarkEnd w:id="0"/>
    </w:p>
    <w:sectPr w:rsidR="00A401E1" w:rsidRPr="00181C6B" w:rsidSect="00181C6B">
      <w:footerReference w:type="default" r:id="rId7"/>
      <w:pgSz w:w="11906" w:h="16838" w:code="9"/>
      <w:pgMar w:top="1440" w:right="1080" w:bottom="1440"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2C5" w:rsidRDefault="00B322C5" w:rsidP="001A7CD5">
      <w:r>
        <w:separator/>
      </w:r>
    </w:p>
  </w:endnote>
  <w:endnote w:type="continuationSeparator" w:id="0">
    <w:p w:rsidR="00B322C5" w:rsidRDefault="00B322C5" w:rsidP="001A7C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CD5" w:rsidRDefault="001A7CD5">
    <w:pPr>
      <w:pStyle w:val="Voettekst"/>
    </w:pPr>
    <w:r>
      <w:t>Annemieke Wielinga</w:t>
    </w:r>
    <w:r>
      <w:ptab w:relativeTo="margin" w:alignment="center" w:leader="none"/>
    </w:r>
    <w:r>
      <w:rPr>
        <w:lang w:val="nl-NL"/>
      </w:rPr>
      <w:t xml:space="preserve">Pagina </w:t>
    </w:r>
    <w:r w:rsidR="00A54675">
      <w:rPr>
        <w:b/>
      </w:rPr>
      <w:fldChar w:fldCharType="begin"/>
    </w:r>
    <w:r>
      <w:rPr>
        <w:b/>
      </w:rPr>
      <w:instrText>PAGE  \* Arabic  \* MERGEFORMAT</w:instrText>
    </w:r>
    <w:r w:rsidR="00A54675">
      <w:rPr>
        <w:b/>
      </w:rPr>
      <w:fldChar w:fldCharType="separate"/>
    </w:r>
    <w:r w:rsidR="00425862" w:rsidRPr="00425862">
      <w:rPr>
        <w:b/>
        <w:noProof/>
        <w:lang w:val="nl-NL"/>
      </w:rPr>
      <w:t>1</w:t>
    </w:r>
    <w:r w:rsidR="00A54675">
      <w:rPr>
        <w:b/>
      </w:rPr>
      <w:fldChar w:fldCharType="end"/>
    </w:r>
    <w:r>
      <w:rPr>
        <w:lang w:val="nl-NL"/>
      </w:rPr>
      <w:t xml:space="preserve"> van </w:t>
    </w:r>
    <w:fldSimple w:instr="NUMPAGES  \* Arabic  \* MERGEFORMAT">
      <w:r w:rsidR="00425862" w:rsidRPr="00425862">
        <w:rPr>
          <w:b/>
          <w:noProof/>
          <w:lang w:val="nl-NL"/>
        </w:rPr>
        <w:t>2</w:t>
      </w:r>
    </w:fldSimple>
    <w:r>
      <w:ptab w:relativeTo="margin" w:alignment="right" w:leader="none"/>
    </w:r>
    <w:r>
      <w:t>oktober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2C5" w:rsidRDefault="00B322C5" w:rsidP="001A7CD5">
      <w:r>
        <w:separator/>
      </w:r>
    </w:p>
  </w:footnote>
  <w:footnote w:type="continuationSeparator" w:id="0">
    <w:p w:rsidR="00B322C5" w:rsidRDefault="00B322C5" w:rsidP="001A7C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E01793"/>
    <w:multiLevelType w:val="hybridMultilevel"/>
    <w:tmpl w:val="FAF2D7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537E4B80"/>
    <w:multiLevelType w:val="hybridMultilevel"/>
    <w:tmpl w:val="403C90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formatting="1" w:enforcement="1" w:cryptProviderType="rsaFull" w:cryptAlgorithmClass="hash" w:cryptAlgorithmType="typeAny" w:cryptAlgorithmSid="4" w:cryptSpinCount="50000" w:hash="EaHR0w2GyqWzDvTPAmRWwQAHNSw=" w:salt="mldlkGqkxlDUaWheuKmSug=="/>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181C6B"/>
    <w:rsid w:val="00181C6B"/>
    <w:rsid w:val="001A7CD5"/>
    <w:rsid w:val="00425862"/>
    <w:rsid w:val="0067513F"/>
    <w:rsid w:val="00977577"/>
    <w:rsid w:val="00A11245"/>
    <w:rsid w:val="00A401E1"/>
    <w:rsid w:val="00A54675"/>
    <w:rsid w:val="00B322C5"/>
    <w:rsid w:val="00E5352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81C6B"/>
    <w:pPr>
      <w:spacing w:after="0" w:line="240" w:lineRule="auto"/>
    </w:pPr>
    <w:rPr>
      <w:rFonts w:ascii="Helvetica" w:eastAsia="Calibri" w:hAnsi="Helvetica" w:cs="Times New Roman"/>
      <w:szCs w:val="24"/>
      <w:lang w:val="en-GB"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81C6B"/>
    <w:pPr>
      <w:ind w:left="720"/>
      <w:contextualSpacing/>
    </w:pPr>
  </w:style>
  <w:style w:type="paragraph" w:styleId="Koptekst">
    <w:name w:val="header"/>
    <w:basedOn w:val="Standaard"/>
    <w:link w:val="KoptekstChar"/>
    <w:uiPriority w:val="99"/>
    <w:unhideWhenUsed/>
    <w:rsid w:val="001A7CD5"/>
    <w:pPr>
      <w:tabs>
        <w:tab w:val="center" w:pos="4536"/>
        <w:tab w:val="right" w:pos="9072"/>
      </w:tabs>
    </w:pPr>
  </w:style>
  <w:style w:type="character" w:customStyle="1" w:styleId="KoptekstChar">
    <w:name w:val="Koptekst Char"/>
    <w:basedOn w:val="Standaardalinea-lettertype"/>
    <w:link w:val="Koptekst"/>
    <w:uiPriority w:val="99"/>
    <w:rsid w:val="001A7CD5"/>
    <w:rPr>
      <w:rFonts w:ascii="Helvetica" w:eastAsia="Calibri" w:hAnsi="Helvetica" w:cs="Times New Roman"/>
      <w:szCs w:val="24"/>
      <w:lang w:val="en-GB" w:eastAsia="en-GB"/>
    </w:rPr>
  </w:style>
  <w:style w:type="paragraph" w:styleId="Voettekst">
    <w:name w:val="footer"/>
    <w:basedOn w:val="Standaard"/>
    <w:link w:val="VoettekstChar"/>
    <w:uiPriority w:val="99"/>
    <w:unhideWhenUsed/>
    <w:rsid w:val="001A7CD5"/>
    <w:pPr>
      <w:tabs>
        <w:tab w:val="center" w:pos="4536"/>
        <w:tab w:val="right" w:pos="9072"/>
      </w:tabs>
    </w:pPr>
  </w:style>
  <w:style w:type="character" w:customStyle="1" w:styleId="VoettekstChar">
    <w:name w:val="Voettekst Char"/>
    <w:basedOn w:val="Standaardalinea-lettertype"/>
    <w:link w:val="Voettekst"/>
    <w:uiPriority w:val="99"/>
    <w:rsid w:val="001A7CD5"/>
    <w:rPr>
      <w:rFonts w:ascii="Helvetica" w:eastAsia="Calibri" w:hAnsi="Helvetica" w:cs="Times New Roman"/>
      <w:szCs w:val="24"/>
      <w:lang w:val="en-GB" w:eastAsia="en-GB"/>
    </w:rPr>
  </w:style>
  <w:style w:type="paragraph" w:styleId="Ballontekst">
    <w:name w:val="Balloon Text"/>
    <w:basedOn w:val="Standaard"/>
    <w:link w:val="BallontekstChar"/>
    <w:uiPriority w:val="99"/>
    <w:semiHidden/>
    <w:unhideWhenUsed/>
    <w:rsid w:val="001A7CD5"/>
    <w:rPr>
      <w:rFonts w:ascii="Tahoma" w:hAnsi="Tahoma" w:cs="Tahoma"/>
      <w:sz w:val="16"/>
      <w:szCs w:val="16"/>
    </w:rPr>
  </w:style>
  <w:style w:type="character" w:customStyle="1" w:styleId="BallontekstChar">
    <w:name w:val="Ballontekst Char"/>
    <w:basedOn w:val="Standaardalinea-lettertype"/>
    <w:link w:val="Ballontekst"/>
    <w:uiPriority w:val="99"/>
    <w:semiHidden/>
    <w:rsid w:val="001A7CD5"/>
    <w:rPr>
      <w:rFonts w:ascii="Tahoma" w:eastAsia="Calibri"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81C6B"/>
    <w:pPr>
      <w:spacing w:after="0" w:line="240" w:lineRule="auto"/>
    </w:pPr>
    <w:rPr>
      <w:rFonts w:ascii="Helvetica" w:eastAsia="Calibri" w:hAnsi="Helvetica" w:cs="Times New Roman"/>
      <w:szCs w:val="24"/>
      <w:lang w:val="en-GB"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81C6B"/>
    <w:pPr>
      <w:ind w:left="720"/>
      <w:contextualSpacing/>
    </w:pPr>
  </w:style>
  <w:style w:type="paragraph" w:styleId="Koptekst">
    <w:name w:val="header"/>
    <w:basedOn w:val="Standaard"/>
    <w:link w:val="KoptekstChar"/>
    <w:uiPriority w:val="99"/>
    <w:unhideWhenUsed/>
    <w:rsid w:val="001A7CD5"/>
    <w:pPr>
      <w:tabs>
        <w:tab w:val="center" w:pos="4536"/>
        <w:tab w:val="right" w:pos="9072"/>
      </w:tabs>
    </w:pPr>
  </w:style>
  <w:style w:type="character" w:customStyle="1" w:styleId="KoptekstChar">
    <w:name w:val="Koptekst Char"/>
    <w:basedOn w:val="Standaardalinea-lettertype"/>
    <w:link w:val="Koptekst"/>
    <w:uiPriority w:val="99"/>
    <w:rsid w:val="001A7CD5"/>
    <w:rPr>
      <w:rFonts w:ascii="Helvetica" w:eastAsia="Calibri" w:hAnsi="Helvetica" w:cs="Times New Roman"/>
      <w:szCs w:val="24"/>
      <w:lang w:val="en-GB" w:eastAsia="en-GB"/>
    </w:rPr>
  </w:style>
  <w:style w:type="paragraph" w:styleId="Voettekst">
    <w:name w:val="footer"/>
    <w:basedOn w:val="Standaard"/>
    <w:link w:val="VoettekstChar"/>
    <w:uiPriority w:val="99"/>
    <w:unhideWhenUsed/>
    <w:rsid w:val="001A7CD5"/>
    <w:pPr>
      <w:tabs>
        <w:tab w:val="center" w:pos="4536"/>
        <w:tab w:val="right" w:pos="9072"/>
      </w:tabs>
    </w:pPr>
  </w:style>
  <w:style w:type="character" w:customStyle="1" w:styleId="VoettekstChar">
    <w:name w:val="Voettekst Char"/>
    <w:basedOn w:val="Standaardalinea-lettertype"/>
    <w:link w:val="Voettekst"/>
    <w:uiPriority w:val="99"/>
    <w:rsid w:val="001A7CD5"/>
    <w:rPr>
      <w:rFonts w:ascii="Helvetica" w:eastAsia="Calibri" w:hAnsi="Helvetica" w:cs="Times New Roman"/>
      <w:szCs w:val="24"/>
      <w:lang w:val="en-GB" w:eastAsia="en-GB"/>
    </w:rPr>
  </w:style>
  <w:style w:type="paragraph" w:styleId="Ballontekst">
    <w:name w:val="Balloon Text"/>
    <w:basedOn w:val="Standaard"/>
    <w:link w:val="BallontekstChar"/>
    <w:uiPriority w:val="99"/>
    <w:semiHidden/>
    <w:unhideWhenUsed/>
    <w:rsid w:val="001A7CD5"/>
    <w:rPr>
      <w:rFonts w:ascii="Tahoma" w:hAnsi="Tahoma" w:cs="Tahoma"/>
      <w:sz w:val="16"/>
      <w:szCs w:val="16"/>
    </w:rPr>
  </w:style>
  <w:style w:type="character" w:customStyle="1" w:styleId="BallontekstChar">
    <w:name w:val="Ballontekst Char"/>
    <w:basedOn w:val="Standaardalinea-lettertype"/>
    <w:link w:val="Ballontekst"/>
    <w:uiPriority w:val="99"/>
    <w:semiHidden/>
    <w:rsid w:val="001A7CD5"/>
    <w:rPr>
      <w:rFonts w:ascii="Tahoma" w:eastAsia="Calibri" w:hAnsi="Tahoma" w:cs="Tahoma"/>
      <w:sz w:val="16"/>
      <w:szCs w:val="16"/>
      <w:lang w:val="en-GB"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729</Words>
  <Characters>4013</Characters>
  <Application>Microsoft Office Word</Application>
  <DocSecurity>8</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joe.bloggs</cp:lastModifiedBy>
  <cp:revision>3</cp:revision>
  <cp:lastPrinted>2013-10-22T07:23:00Z</cp:lastPrinted>
  <dcterms:created xsi:type="dcterms:W3CDTF">2013-10-21T18:14:00Z</dcterms:created>
  <dcterms:modified xsi:type="dcterms:W3CDTF">2013-10-22T07:24:00Z</dcterms:modified>
</cp:coreProperties>
</file>