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62D" w:rsidRDefault="0064017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9762D">
        <w:rPr>
          <w:sz w:val="28"/>
          <w:szCs w:val="28"/>
        </w:rPr>
        <w:t>Instillagel</w:t>
      </w:r>
      <w:r w:rsidR="0059762D">
        <w:rPr>
          <w:rFonts w:cstheme="minorHAnsi"/>
          <w:sz w:val="28"/>
          <w:szCs w:val="28"/>
        </w:rPr>
        <w:t>®</w:t>
      </w:r>
    </w:p>
    <w:p w:rsidR="0059762D" w:rsidRPr="0059762D" w:rsidRDefault="0059762D" w:rsidP="0059762D">
      <w:pPr>
        <w:pStyle w:val="NoSpacing"/>
        <w:rPr>
          <w:u w:val="single"/>
        </w:rPr>
      </w:pPr>
      <w:r w:rsidRPr="0059762D">
        <w:rPr>
          <w:u w:val="single"/>
        </w:rPr>
        <w:t>Samenstelling:</w:t>
      </w:r>
    </w:p>
    <w:p w:rsidR="0059762D" w:rsidRDefault="0059762D" w:rsidP="0059762D">
      <w:pPr>
        <w:pStyle w:val="NoSpacing"/>
      </w:pPr>
      <w:r>
        <w:t>Instillagel</w:t>
      </w:r>
      <w:r>
        <w:rPr>
          <w:rFonts w:cstheme="minorHAnsi"/>
        </w:rPr>
        <w:t>®</w:t>
      </w:r>
      <w:r>
        <w:t xml:space="preserve"> is een steriele gel en bevat per 100 ml gel 2,09 g </w:t>
      </w:r>
      <w:r w:rsidRPr="0059762D">
        <w:rPr>
          <w:b/>
        </w:rPr>
        <w:t>Lidocaine</w:t>
      </w:r>
      <w:r>
        <w:t>hydrochloridemonohydraat</w:t>
      </w:r>
    </w:p>
    <w:p w:rsidR="0059762D" w:rsidRDefault="0059762D" w:rsidP="0059762D">
      <w:pPr>
        <w:pStyle w:val="NoSpacing"/>
      </w:pPr>
      <w:r>
        <w:t xml:space="preserve">en 52,3 mg </w:t>
      </w:r>
      <w:r w:rsidRPr="0059762D">
        <w:rPr>
          <w:b/>
        </w:rPr>
        <w:t>chloorhexidine</w:t>
      </w:r>
      <w:r>
        <w:t>gluconaat.  Het wordt geleverd in wegwerpspuiten met 6 ml gel.</w:t>
      </w:r>
    </w:p>
    <w:p w:rsidR="0059762D" w:rsidRPr="0059762D" w:rsidRDefault="0059762D" w:rsidP="0059762D">
      <w:pPr>
        <w:pStyle w:val="NoSpacing"/>
        <w:rPr>
          <w:u w:val="single"/>
        </w:rPr>
      </w:pPr>
    </w:p>
    <w:p w:rsidR="0059762D" w:rsidRDefault="0059762D" w:rsidP="0059762D">
      <w:pPr>
        <w:pStyle w:val="NoSpacing"/>
        <w:rPr>
          <w:u w:val="single"/>
        </w:rPr>
      </w:pPr>
      <w:r w:rsidRPr="0059762D">
        <w:rPr>
          <w:u w:val="single"/>
        </w:rPr>
        <w:t>Indicatie</w:t>
      </w:r>
      <w:r>
        <w:rPr>
          <w:u w:val="single"/>
        </w:rPr>
        <w:t>:</w:t>
      </w:r>
    </w:p>
    <w:p w:rsidR="0059762D" w:rsidRPr="00BB6E76" w:rsidRDefault="0059762D" w:rsidP="0059762D">
      <w:pPr>
        <w:pStyle w:val="NoSpacing"/>
      </w:pPr>
      <w:r>
        <w:t>Het is een gel voor urethraal, rectaal en oropharyngeaal gebruik, en werkt plaatseli</w:t>
      </w:r>
      <w:r w:rsidR="00BB6E76">
        <w:t xml:space="preserve">jk verdovend en antibacterieel. </w:t>
      </w:r>
      <w:r w:rsidRPr="0059762D">
        <w:rPr>
          <w:rFonts w:cstheme="minorHAnsi"/>
        </w:rPr>
        <w:t>De verdovende werking start na enkele minuten en houdt ongeveer 1-2 uur aan.</w:t>
      </w:r>
    </w:p>
    <w:p w:rsidR="0059762D" w:rsidRDefault="0059762D" w:rsidP="0059762D">
      <w:pPr>
        <w:pStyle w:val="NoSpacing"/>
        <w:rPr>
          <w:rFonts w:eastAsia="Times New Roman" w:cstheme="minorHAnsi"/>
          <w:lang w:eastAsia="nl-NL"/>
        </w:rPr>
      </w:pPr>
    </w:p>
    <w:p w:rsidR="0059762D" w:rsidRDefault="0059762D" w:rsidP="0059762D">
      <w:pPr>
        <w:pStyle w:val="NoSpacing"/>
        <w:rPr>
          <w:rFonts w:eastAsia="Times New Roman" w:cstheme="minorHAnsi"/>
          <w:lang w:eastAsia="nl-NL"/>
        </w:rPr>
      </w:pPr>
      <w:r w:rsidRPr="00363256">
        <w:rPr>
          <w:rFonts w:eastAsia="Times New Roman" w:cstheme="minorHAnsi"/>
          <w:lang w:eastAsia="nl-NL"/>
        </w:rPr>
        <w:t xml:space="preserve">Het werkzame bestanddeel lidocaïne is een plaatselijk verdovend middel van het amidetype. </w:t>
      </w:r>
      <w:r w:rsidRPr="00363256">
        <w:rPr>
          <w:rFonts w:eastAsia="Times New Roman" w:cstheme="minorHAnsi"/>
          <w:lang w:eastAsia="nl-NL"/>
        </w:rPr>
        <w:br/>
        <w:t xml:space="preserve">Het belet </w:t>
      </w:r>
      <w:r>
        <w:rPr>
          <w:rFonts w:eastAsia="Times New Roman" w:cstheme="minorHAnsi"/>
          <w:lang w:eastAsia="nl-NL"/>
        </w:rPr>
        <w:t xml:space="preserve">tijdelijk het gevoel van pijn.  </w:t>
      </w:r>
      <w:r w:rsidRPr="00363256">
        <w:rPr>
          <w:rFonts w:eastAsia="Times New Roman" w:cstheme="minorHAnsi"/>
          <w:lang w:eastAsia="nl-NL"/>
        </w:rPr>
        <w:t>Het andere werkzame bestanddeel, chloorhexidine, is een on</w:t>
      </w:r>
      <w:r>
        <w:rPr>
          <w:rFonts w:eastAsia="Times New Roman" w:cstheme="minorHAnsi"/>
          <w:lang w:eastAsia="nl-NL"/>
        </w:rPr>
        <w:t xml:space="preserve">tsmettingsmiddel dat actief is </w:t>
      </w:r>
      <w:r w:rsidRPr="00363256">
        <w:rPr>
          <w:rFonts w:eastAsia="Times New Roman" w:cstheme="minorHAnsi"/>
          <w:lang w:eastAsia="nl-NL"/>
        </w:rPr>
        <w:t>tegen een groot aantal bacteriën.</w:t>
      </w:r>
      <w:r w:rsidRPr="00363256">
        <w:rPr>
          <w:rFonts w:ascii="Arial" w:eastAsia="Times New Roman" w:hAnsi="Arial" w:cs="Arial"/>
          <w:lang w:eastAsia="nl-NL"/>
        </w:rPr>
        <w:t xml:space="preserve"> </w:t>
      </w:r>
      <w:r w:rsidRPr="00363256">
        <w:rPr>
          <w:rFonts w:ascii="Arial" w:eastAsia="Times New Roman" w:hAnsi="Arial" w:cs="Arial"/>
          <w:lang w:eastAsia="nl-NL"/>
        </w:rPr>
        <w:br/>
      </w:r>
      <w:r w:rsidRPr="00363256">
        <w:rPr>
          <w:rFonts w:eastAsia="Times New Roman" w:cstheme="minorHAnsi"/>
          <w:b/>
          <w:bCs/>
          <w:lang w:eastAsia="nl-NL"/>
        </w:rPr>
        <w:br/>
      </w:r>
      <w:r>
        <w:rPr>
          <w:rFonts w:eastAsia="Times New Roman" w:cstheme="minorHAnsi"/>
          <w:lang w:eastAsia="nl-NL"/>
        </w:rPr>
        <w:t>Toepassing: d</w:t>
      </w:r>
      <w:r w:rsidRPr="00363256">
        <w:rPr>
          <w:rFonts w:eastAsia="Times New Roman" w:cstheme="minorHAnsi"/>
          <w:lang w:eastAsia="nl-NL"/>
        </w:rPr>
        <w:t>eze gel wordt gebruikt bij het inbrengen van catheters of inst</w:t>
      </w:r>
      <w:r>
        <w:rPr>
          <w:rFonts w:eastAsia="Times New Roman" w:cstheme="minorHAnsi"/>
          <w:lang w:eastAsia="nl-NL"/>
        </w:rPr>
        <w:t xml:space="preserve">rumenten via urinewegen, anus, </w:t>
      </w:r>
      <w:r w:rsidRPr="00363256">
        <w:rPr>
          <w:rFonts w:eastAsia="Times New Roman" w:cstheme="minorHAnsi"/>
          <w:lang w:eastAsia="nl-NL"/>
        </w:rPr>
        <w:t>mond- en keelholte</w:t>
      </w:r>
      <w:r w:rsidR="00640175">
        <w:rPr>
          <w:rFonts w:eastAsia="Times New Roman" w:cstheme="minorHAnsi"/>
          <w:lang w:eastAsia="nl-NL"/>
        </w:rPr>
        <w:t>,fistels</w:t>
      </w:r>
      <w:r w:rsidRPr="00363256">
        <w:rPr>
          <w:rFonts w:eastAsia="Times New Roman" w:cstheme="minorHAnsi"/>
          <w:lang w:eastAsia="nl-NL"/>
        </w:rPr>
        <w:t xml:space="preserve"> of via operatief aangebrachte lichaamsopenin</w:t>
      </w:r>
      <w:r>
        <w:rPr>
          <w:rFonts w:eastAsia="Times New Roman" w:cstheme="minorHAnsi"/>
          <w:lang w:eastAsia="nl-NL"/>
        </w:rPr>
        <w:t>gen.</w:t>
      </w:r>
    </w:p>
    <w:p w:rsidR="0059762D" w:rsidRDefault="0059762D" w:rsidP="0059762D">
      <w:pPr>
        <w:pStyle w:val="NoSpacing"/>
        <w:rPr>
          <w:rFonts w:eastAsia="Times New Roman" w:cstheme="minorHAnsi"/>
          <w:lang w:eastAsia="nl-NL"/>
        </w:rPr>
      </w:pPr>
    </w:p>
    <w:p w:rsidR="0059762D" w:rsidRDefault="0059762D" w:rsidP="0059762D">
      <w:pPr>
        <w:pStyle w:val="NoSpacing"/>
        <w:rPr>
          <w:rFonts w:cstheme="minorHAnsi"/>
          <w:u w:val="single"/>
        </w:rPr>
      </w:pPr>
      <w:r>
        <w:rPr>
          <w:rFonts w:cstheme="minorHAnsi"/>
          <w:u w:val="single"/>
        </w:rPr>
        <w:t>Contra-indicatie:</w:t>
      </w:r>
    </w:p>
    <w:p w:rsidR="0059762D" w:rsidRDefault="00D83037" w:rsidP="0059762D">
      <w:pPr>
        <w:pStyle w:val="NoSpacing"/>
        <w:rPr>
          <w:rFonts w:cstheme="minorHAnsi"/>
        </w:rPr>
      </w:pPr>
      <w:r>
        <w:rPr>
          <w:rFonts w:cstheme="minorHAnsi"/>
        </w:rPr>
        <w:t>- niet gebruiken bij patiënten</w:t>
      </w:r>
      <w:bookmarkStart w:id="0" w:name="_GoBack"/>
      <w:bookmarkEnd w:id="0"/>
      <w:r w:rsidR="0059762D">
        <w:rPr>
          <w:rFonts w:cstheme="minorHAnsi"/>
        </w:rPr>
        <w:t>, die gevoelig zijn voor plaatselijke verdovingsmiddelen van het amidetype, zoals lidocaine of voor chloorhexidine.</w:t>
      </w:r>
    </w:p>
    <w:p w:rsidR="0059762D" w:rsidRDefault="0059762D" w:rsidP="0059762D">
      <w:pPr>
        <w:pStyle w:val="NoSpacing"/>
        <w:rPr>
          <w:rFonts w:cstheme="minorHAnsi"/>
        </w:rPr>
      </w:pPr>
      <w:r>
        <w:rPr>
          <w:rFonts w:cstheme="minorHAnsi"/>
        </w:rPr>
        <w:t>- mag gebruikt worden tijdens dracht of lactatie</w:t>
      </w:r>
    </w:p>
    <w:p w:rsidR="0059762D" w:rsidRDefault="0059762D" w:rsidP="0059762D">
      <w:pPr>
        <w:pStyle w:val="NoSpacing"/>
        <w:rPr>
          <w:rFonts w:cstheme="minorHAnsi"/>
        </w:rPr>
      </w:pPr>
      <w:r>
        <w:rPr>
          <w:rFonts w:cstheme="minorHAnsi"/>
        </w:rPr>
        <w:t>- wisselwerking met andere middele</w:t>
      </w:r>
      <w:r w:rsidR="00640175">
        <w:rPr>
          <w:rFonts w:cstheme="minorHAnsi"/>
        </w:rPr>
        <w:t>n:  wisselwerking met antiarrhytmica</w:t>
      </w:r>
      <w:r>
        <w:rPr>
          <w:rFonts w:cstheme="minorHAnsi"/>
        </w:rPr>
        <w:t xml:space="preserve"> kan voorkomen, als instillagel terecht komt in het bloed.</w:t>
      </w:r>
    </w:p>
    <w:p w:rsidR="0059762D" w:rsidRDefault="0059762D" w:rsidP="0059762D">
      <w:pPr>
        <w:pStyle w:val="NoSpacing"/>
        <w:rPr>
          <w:rFonts w:cstheme="minorHAnsi"/>
        </w:rPr>
      </w:pPr>
      <w:r>
        <w:rPr>
          <w:rFonts w:cstheme="minorHAnsi"/>
        </w:rPr>
        <w:t xml:space="preserve">- voorzichtigheid is geboden bij open wonden of ernstig beschadigde slijmvliezen en/of infecties in het gebied waar de gel wordt toegepast; er is dan een risico op verhoogde opname van het geneesmiddel in de bloedsomloop. Vooral bij </w:t>
      </w:r>
      <w:r w:rsidR="00640175">
        <w:rPr>
          <w:rFonts w:cstheme="minorHAnsi"/>
        </w:rPr>
        <w:t>patiënten</w:t>
      </w:r>
      <w:r>
        <w:rPr>
          <w:rFonts w:cstheme="minorHAnsi"/>
        </w:rPr>
        <w:t xml:space="preserve"> met hartfunctiestoornissen of epilepsie moet men hier rekening mee houden.</w:t>
      </w:r>
    </w:p>
    <w:p w:rsidR="0059762D" w:rsidRDefault="0059762D" w:rsidP="0059762D">
      <w:pPr>
        <w:pStyle w:val="NoSpacing"/>
        <w:rPr>
          <w:rFonts w:cstheme="minorHAnsi"/>
        </w:rPr>
      </w:pPr>
      <w:r>
        <w:rPr>
          <w:rFonts w:cstheme="minorHAnsi"/>
        </w:rPr>
        <w:t>- het mag niet toegepast worden op hersenweefsel, hersenvliezen of het middenoor,</w:t>
      </w:r>
    </w:p>
    <w:p w:rsidR="0059762D" w:rsidRDefault="0059762D" w:rsidP="0059762D">
      <w:pPr>
        <w:pStyle w:val="NoSpacing"/>
        <w:rPr>
          <w:rFonts w:cstheme="minorHAnsi"/>
        </w:rPr>
      </w:pPr>
      <w:r>
        <w:rPr>
          <w:rFonts w:cstheme="minorHAnsi"/>
        </w:rPr>
        <w:t>Vermijd contact met de ogen.</w:t>
      </w:r>
    </w:p>
    <w:p w:rsidR="0059762D" w:rsidRDefault="0059762D" w:rsidP="0059762D">
      <w:pPr>
        <w:pStyle w:val="NoSpacing"/>
        <w:rPr>
          <w:rFonts w:cstheme="minorHAnsi"/>
        </w:rPr>
      </w:pPr>
      <w:r>
        <w:rPr>
          <w:rFonts w:cstheme="minorHAnsi"/>
        </w:rPr>
        <w:t>(- linnengoed dat in aanraking is geweest met chloorhexidine krijgt bruine, niet verwijderbare vlekken)</w:t>
      </w:r>
    </w:p>
    <w:p w:rsidR="00BB6E76" w:rsidRDefault="00BB6E76" w:rsidP="0059762D">
      <w:pPr>
        <w:pStyle w:val="NoSpacing"/>
        <w:rPr>
          <w:rFonts w:cstheme="minorHAnsi"/>
        </w:rPr>
      </w:pPr>
    </w:p>
    <w:p w:rsidR="00BB6E76" w:rsidRDefault="00BB6E76" w:rsidP="0059762D">
      <w:pPr>
        <w:pStyle w:val="NoSpacing"/>
        <w:rPr>
          <w:rFonts w:cstheme="minorHAnsi"/>
          <w:u w:val="single"/>
        </w:rPr>
      </w:pPr>
      <w:r>
        <w:rPr>
          <w:rFonts w:cstheme="minorHAnsi"/>
          <w:u w:val="single"/>
        </w:rPr>
        <w:t>Toepassing:</w:t>
      </w:r>
    </w:p>
    <w:p w:rsidR="00BB6E76" w:rsidRDefault="00BB6E76" w:rsidP="0059762D">
      <w:pPr>
        <w:pStyle w:val="NoSpacing"/>
        <w:rPr>
          <w:rFonts w:cstheme="minorHAnsi"/>
        </w:rPr>
      </w:pPr>
      <w:r>
        <w:rPr>
          <w:rFonts w:cstheme="minorHAnsi"/>
        </w:rPr>
        <w:t>- bij het inbrengen van een catheter: gel langzaam in de urinebuis brengen</w:t>
      </w:r>
    </w:p>
    <w:p w:rsidR="00BB6E76" w:rsidRDefault="00BB6E76" w:rsidP="0059762D">
      <w:pPr>
        <w:pStyle w:val="NoSpacing"/>
        <w:rPr>
          <w:rFonts w:cstheme="minorHAnsi"/>
        </w:rPr>
      </w:pPr>
      <w:r>
        <w:rPr>
          <w:rFonts w:cstheme="minorHAnsi"/>
        </w:rPr>
        <w:t>- andere toepassingen: de gel in de gebruikte lichaamsopening brengen e/o zo gelijkmatig mogelijk verdelen op de cath</w:t>
      </w:r>
      <w:r w:rsidR="00640175">
        <w:rPr>
          <w:rFonts w:cstheme="minorHAnsi"/>
        </w:rPr>
        <w:t>e</w:t>
      </w:r>
      <w:r>
        <w:rPr>
          <w:rFonts w:cstheme="minorHAnsi"/>
        </w:rPr>
        <w:t>ter of op het instrument.</w:t>
      </w:r>
    </w:p>
    <w:p w:rsidR="00BB6E76" w:rsidRDefault="00BB6E76" w:rsidP="0059762D">
      <w:pPr>
        <w:pStyle w:val="NoSpacing"/>
        <w:rPr>
          <w:rFonts w:cstheme="minorHAnsi"/>
          <w:b/>
        </w:rPr>
      </w:pPr>
      <w:r>
        <w:rPr>
          <w:rFonts w:cstheme="minorHAnsi"/>
          <w:b/>
        </w:rPr>
        <w:t>De plaatselijke verdoving en desinfecterende werking treedt in na 5-10 minuten</w:t>
      </w:r>
    </w:p>
    <w:p w:rsidR="00BB6E76" w:rsidRDefault="00BB6E76" w:rsidP="0059762D">
      <w:pPr>
        <w:pStyle w:val="NoSpacing"/>
        <w:rPr>
          <w:rFonts w:cstheme="minorHAnsi"/>
          <w:b/>
        </w:rPr>
      </w:pPr>
    </w:p>
    <w:p w:rsidR="00BB6E76" w:rsidRDefault="00BB6E76" w:rsidP="0059762D">
      <w:pPr>
        <w:pStyle w:val="NoSpacing"/>
        <w:rPr>
          <w:rFonts w:cstheme="minorHAnsi"/>
          <w:u w:val="single"/>
        </w:rPr>
      </w:pPr>
      <w:r>
        <w:rPr>
          <w:rFonts w:cstheme="minorHAnsi"/>
          <w:u w:val="single"/>
        </w:rPr>
        <w:t>Bijwerking/ overdosering:</w:t>
      </w:r>
    </w:p>
    <w:p w:rsidR="00BB6E76" w:rsidRDefault="00BB6E76" w:rsidP="0059762D">
      <w:pPr>
        <w:pStyle w:val="NoSpacing"/>
        <w:rPr>
          <w:rFonts w:cstheme="minorHAnsi"/>
        </w:rPr>
      </w:pPr>
      <w:r>
        <w:rPr>
          <w:rFonts w:cstheme="minorHAnsi"/>
        </w:rPr>
        <w:t>- plaatselijke irritatie en allergische reacties in het lichaam treden zelden op.</w:t>
      </w:r>
    </w:p>
    <w:p w:rsidR="00BB6E76" w:rsidRDefault="00BB6E76" w:rsidP="0059762D">
      <w:pPr>
        <w:pStyle w:val="NoSpacing"/>
        <w:rPr>
          <w:rFonts w:cstheme="minorHAnsi"/>
        </w:rPr>
      </w:pPr>
      <w:r>
        <w:rPr>
          <w:rFonts w:cstheme="minorHAnsi"/>
        </w:rPr>
        <w:t>- in geval van overdosering kunnen optreden: gapen, sufheid, duizeligheid, rusteloosheid, misselijkheid, braken, beven, spiertrekkingen, convulsies, ademhalingsstilstand en coma.</w:t>
      </w:r>
    </w:p>
    <w:p w:rsidR="00640175" w:rsidRDefault="00640175" w:rsidP="0059762D">
      <w:pPr>
        <w:pStyle w:val="NoSpacing"/>
        <w:rPr>
          <w:rFonts w:cstheme="minorHAnsi"/>
        </w:rPr>
      </w:pPr>
      <w:r>
        <w:rPr>
          <w:rFonts w:cstheme="minorHAnsi"/>
        </w:rPr>
        <w:t>De behandeling is symptomatisch.</w:t>
      </w:r>
    </w:p>
    <w:p w:rsidR="00BB6E76" w:rsidRDefault="00BB6E76" w:rsidP="0059762D">
      <w:pPr>
        <w:pStyle w:val="NoSpacing"/>
        <w:rPr>
          <w:rFonts w:cstheme="minorHAnsi"/>
        </w:rPr>
      </w:pPr>
    </w:p>
    <w:p w:rsidR="00BB6E76" w:rsidRDefault="00BB6E76" w:rsidP="0059762D">
      <w:pPr>
        <w:pStyle w:val="NoSpacing"/>
        <w:rPr>
          <w:rFonts w:cstheme="minorHAnsi"/>
          <w:u w:val="single"/>
        </w:rPr>
      </w:pPr>
      <w:r>
        <w:rPr>
          <w:rFonts w:cstheme="minorHAnsi"/>
          <w:u w:val="single"/>
        </w:rPr>
        <w:t>Bewaren:</w:t>
      </w:r>
    </w:p>
    <w:p w:rsidR="00BB6E76" w:rsidRDefault="00BB6E76" w:rsidP="0059762D">
      <w:pPr>
        <w:pStyle w:val="NoSpacing"/>
        <w:rPr>
          <w:rFonts w:cstheme="minorHAnsi"/>
        </w:rPr>
      </w:pPr>
      <w:r>
        <w:rPr>
          <w:rFonts w:cstheme="minorHAnsi"/>
        </w:rPr>
        <w:t>- bewaar de gel in originele goed gesloten verpakking niet boven de 25 °C.</w:t>
      </w:r>
    </w:p>
    <w:p w:rsidR="00BB6E76" w:rsidRDefault="00BB6E76" w:rsidP="0059762D">
      <w:pPr>
        <w:pStyle w:val="NoSpacing"/>
        <w:rPr>
          <w:rFonts w:cstheme="minorHAnsi"/>
        </w:rPr>
      </w:pPr>
      <w:r>
        <w:rPr>
          <w:rFonts w:cstheme="minorHAnsi"/>
        </w:rPr>
        <w:t>- open de wegwerpspuit zo kort mogelijk voor gebruik</w:t>
      </w:r>
    </w:p>
    <w:p w:rsidR="00BB6E76" w:rsidRPr="00BB6E76" w:rsidRDefault="00BB6E76" w:rsidP="0059762D">
      <w:pPr>
        <w:pStyle w:val="NoSpacing"/>
        <w:rPr>
          <w:rFonts w:cstheme="minorHAnsi"/>
        </w:rPr>
      </w:pPr>
      <w:r>
        <w:rPr>
          <w:rFonts w:cstheme="minorHAnsi"/>
        </w:rPr>
        <w:t>- na gebruik de wegwerpspuit wegwerpen…</w:t>
      </w:r>
    </w:p>
    <w:p w:rsidR="00BB6E76" w:rsidRPr="00BB6E76" w:rsidRDefault="00BB6E76" w:rsidP="0059762D">
      <w:pPr>
        <w:pStyle w:val="NoSpacing"/>
        <w:rPr>
          <w:rFonts w:cstheme="minorHAnsi"/>
          <w:u w:val="single"/>
        </w:rPr>
      </w:pPr>
    </w:p>
    <w:sectPr w:rsidR="00BB6E76" w:rsidRPr="00BB6E76" w:rsidSect="00A11245">
      <w:footerReference w:type="default" r:id="rId6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75D" w:rsidRDefault="0049275D" w:rsidP="00640175">
      <w:pPr>
        <w:spacing w:after="0" w:line="240" w:lineRule="auto"/>
      </w:pPr>
      <w:r>
        <w:separator/>
      </w:r>
    </w:p>
  </w:endnote>
  <w:endnote w:type="continuationSeparator" w:id="0">
    <w:p w:rsidR="0049275D" w:rsidRDefault="0049275D" w:rsidP="00640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175" w:rsidRDefault="00640175">
    <w:pPr>
      <w:pStyle w:val="Footer"/>
    </w:pPr>
    <w:r>
      <w:t>LB</w:t>
    </w:r>
    <w:r>
      <w:ptab w:relativeTo="margin" w:alignment="center" w:leader="none"/>
    </w:r>
    <w:r>
      <w:t>pg 1 van 1</w:t>
    </w:r>
    <w:r>
      <w:ptab w:relativeTo="margin" w:alignment="right" w:leader="none"/>
    </w:r>
    <w:r>
      <w:t>augustus 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75D" w:rsidRDefault="0049275D" w:rsidP="00640175">
      <w:pPr>
        <w:spacing w:after="0" w:line="240" w:lineRule="auto"/>
      </w:pPr>
      <w:r>
        <w:separator/>
      </w:r>
    </w:p>
  </w:footnote>
  <w:footnote w:type="continuationSeparator" w:id="0">
    <w:p w:rsidR="0049275D" w:rsidRDefault="0049275D" w:rsidP="006401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readOnly" w:enforcement="1" w:cryptProviderType="rsaFull" w:cryptAlgorithmClass="hash" w:cryptAlgorithmType="typeAny" w:cryptAlgorithmSid="4" w:cryptSpinCount="100000" w:hash="4P6M+pXv9z2BtR7lpDrTxeexYp8=" w:salt="4+uS2Ln5jNYS1jYtCCGgRw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762D"/>
    <w:rsid w:val="00345960"/>
    <w:rsid w:val="0049275D"/>
    <w:rsid w:val="0059762D"/>
    <w:rsid w:val="00640175"/>
    <w:rsid w:val="009843F0"/>
    <w:rsid w:val="00A11245"/>
    <w:rsid w:val="00A401E1"/>
    <w:rsid w:val="00BB6E76"/>
    <w:rsid w:val="00C03A15"/>
    <w:rsid w:val="00D83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A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762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40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0175"/>
  </w:style>
  <w:style w:type="paragraph" w:styleId="Footer">
    <w:name w:val="footer"/>
    <w:basedOn w:val="Normal"/>
    <w:link w:val="FooterChar"/>
    <w:uiPriority w:val="99"/>
    <w:unhideWhenUsed/>
    <w:rsid w:val="00640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0175"/>
  </w:style>
  <w:style w:type="paragraph" w:styleId="BalloonText">
    <w:name w:val="Balloon Text"/>
    <w:basedOn w:val="Normal"/>
    <w:link w:val="BalloonTextChar"/>
    <w:uiPriority w:val="99"/>
    <w:semiHidden/>
    <w:unhideWhenUsed/>
    <w:rsid w:val="00640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01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59762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640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40175"/>
  </w:style>
  <w:style w:type="paragraph" w:styleId="Voettekst">
    <w:name w:val="footer"/>
    <w:basedOn w:val="Standaard"/>
    <w:link w:val="VoettekstChar"/>
    <w:uiPriority w:val="99"/>
    <w:unhideWhenUsed/>
    <w:rsid w:val="00640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40175"/>
  </w:style>
  <w:style w:type="paragraph" w:styleId="Ballontekst">
    <w:name w:val="Balloon Text"/>
    <w:basedOn w:val="Standaard"/>
    <w:link w:val="BallontekstChar"/>
    <w:uiPriority w:val="99"/>
    <w:semiHidden/>
    <w:unhideWhenUsed/>
    <w:rsid w:val="00640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401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392</Words>
  <Characters>2159</Characters>
  <Application>Microsoft Office Word</Application>
  <DocSecurity>8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joe.bloggs</cp:lastModifiedBy>
  <cp:revision>3</cp:revision>
  <dcterms:created xsi:type="dcterms:W3CDTF">2011-08-12T09:11:00Z</dcterms:created>
  <dcterms:modified xsi:type="dcterms:W3CDTF">2011-08-17T15:08:00Z</dcterms:modified>
</cp:coreProperties>
</file>